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tabs>
          <w:tab w:val="clear" w:pos="1296"/>
          <w:tab w:val="left" w:pos="567" w:leader="none"/>
          <w:tab w:val="left" w:pos="851" w:leader="none"/>
        </w:tabs>
        <w:spacing w:lineRule="auto" w:line="240" w:before="0" w:after="0"/>
        <w:jc w:val="center"/>
        <w:rPr>
          <w:rFonts w:ascii="Arial" w:hAnsi="Arial" w:eastAsia="Times New Roman" w:cs="Arial"/>
          <w:b/>
          <w:bCs/>
          <w:caps/>
          <w:kern w:val="0"/>
          <w14:ligatures w14:val="none"/>
        </w:rPr>
      </w:pPr>
      <w:r>
        <w:rPr>
          <w:rFonts w:eastAsia="Times New Roman" w:cs="Arial" w:ascii="Arial" w:hAnsi="Arial"/>
          <w:b/>
          <w:bCs/>
          <w:caps/>
          <w:kern w:val="0"/>
          <w14:ligatures w14:val="none"/>
        </w:rPr>
        <w:t>paslaugų pirkimo-pardavimo sutarties Specialiosios sąlygos</w:t>
      </w:r>
    </w:p>
    <w:p>
      <w:pPr>
        <w:pStyle w:val="Normal"/>
        <w:widowControl w:val="false"/>
        <w:tabs>
          <w:tab w:val="clear" w:pos="1296"/>
          <w:tab w:val="left" w:pos="567" w:leader="none"/>
          <w:tab w:val="left" w:pos="851" w:leader="none"/>
        </w:tabs>
        <w:spacing w:lineRule="auto" w:line="240" w:before="0" w:after="0"/>
        <w:jc w:val="center"/>
        <w:rPr>
          <w:rFonts w:ascii="Arial" w:hAnsi="Arial" w:eastAsia="Times New Roman" w:cs="Arial"/>
          <w:caps/>
          <w:kern w:val="0"/>
          <w14:ligatures w14:val="none"/>
        </w:rPr>
      </w:pPr>
      <w:r>
        <w:rPr>
          <w:rFonts w:eastAsia="Times New Roman" w:cs="Arial" w:ascii="Arial" w:hAnsi="Arial"/>
          <w:caps/>
          <w:kern w:val="0"/>
          <w14:ligatures w14:val="none"/>
        </w:rPr>
      </w:r>
    </w:p>
    <w:p>
      <w:pPr>
        <w:pStyle w:val="Normal"/>
        <w:spacing w:lineRule="auto" w:line="240" w:before="0" w:after="0"/>
        <w:jc w:val="center"/>
        <w:rPr>
          <w:rFonts w:ascii="Arial" w:hAnsi="Arial" w:eastAsia="Times New Roman" w:cs="Arial"/>
          <w:kern w:val="0"/>
          <w14:ligatures w14:val="none"/>
        </w:rPr>
      </w:pPr>
      <w:r>
        <w:rPr>
          <w:rFonts w:eastAsia="Times New Roman" w:cs="Arial" w:ascii="Arial" w:hAnsi="Arial"/>
          <w:kern w:val="0"/>
          <w14:ligatures w14:val="none"/>
        </w:rPr>
      </w:r>
    </w:p>
    <w:tbl>
      <w:tblPr>
        <w:tblW w:w="955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446"/>
        <w:gridCol w:w="2181"/>
        <w:gridCol w:w="2359"/>
        <w:gridCol w:w="2571"/>
      </w:tblGrid>
      <w:tr>
        <w:trPr/>
        <w:tc>
          <w:tcPr>
            <w:tcW w:w="244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eastAsia="Times New Roman" w:cs="Arial"/>
                <w:b/>
                <w14:ligatures w14:val="none"/>
              </w:rPr>
            </w:pPr>
            <w:r>
              <w:rPr>
                <w:rFonts w:eastAsia="Times New Roman" w:cs="Arial" w:ascii="Arial" w:hAnsi="Arial"/>
                <w:b/>
                <w14:ligatures w14:val="none"/>
              </w:rPr>
              <w:t>Sutarties pavadinimas</w:t>
            </w:r>
          </w:p>
        </w:tc>
        <w:tc>
          <w:tcPr>
            <w:tcW w:w="7111" w:type="dxa"/>
            <w:gridSpan w:val="3"/>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eastAsia="Times New Roman" w:cs="Arial"/>
                <w14:ligatures w14:val="none"/>
              </w:rPr>
            </w:pPr>
            <w:r>
              <w:rPr>
                <w:rFonts w:eastAsia="Times New Roman" w:cs="Arial" w:ascii="Arial" w:hAnsi="Arial"/>
                <w14:ligatures w14:val="none"/>
              </w:rPr>
              <w:t>Nekilnojamojo turto draudimo paslaugų viešojo pirkimo – pardavimo sutartis</w:t>
            </w:r>
          </w:p>
        </w:tc>
      </w:tr>
      <w:tr>
        <w:trPr/>
        <w:tc>
          <w:tcPr>
            <w:tcW w:w="244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eastAsia="Times New Roman" w:cs="Arial"/>
                <w:b/>
                <w14:ligatures w14:val="none"/>
              </w:rPr>
            </w:pPr>
            <w:r>
              <w:rPr>
                <w:rFonts w:eastAsia="Times New Roman" w:cs="Arial" w:ascii="Arial" w:hAnsi="Arial"/>
                <w:b/>
                <w14:ligatures w14:val="none"/>
              </w:rPr>
              <w:t>Sutarties data</w:t>
            </w:r>
          </w:p>
        </w:tc>
        <w:tc>
          <w:tcPr>
            <w:tcW w:w="218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eastAsia="Times New Roman" w:cs="Arial"/>
                <w14:ligatures w14:val="none"/>
              </w:rPr>
            </w:pPr>
            <w:r>
              <w:rPr>
                <w:rFonts w:eastAsia="Times New Roman" w:cs="Arial" w:ascii="Arial" w:hAnsi="Arial"/>
                <w14:ligatures w14:val="none"/>
              </w:rPr>
            </w:r>
          </w:p>
        </w:tc>
        <w:tc>
          <w:tcPr>
            <w:tcW w:w="235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eastAsia="Times New Roman" w:cs="Arial"/>
                <w:b/>
                <w14:ligatures w14:val="none"/>
              </w:rPr>
            </w:pPr>
            <w:r>
              <w:rPr>
                <w:rFonts w:eastAsia="Times New Roman" w:cs="Arial" w:ascii="Arial" w:hAnsi="Arial"/>
                <w:b/>
                <w14:ligatures w14:val="none"/>
              </w:rPr>
              <w:t>Sutarties numeris</w:t>
            </w:r>
          </w:p>
        </w:tc>
        <w:tc>
          <w:tcPr>
            <w:tcW w:w="257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eastAsia="Times New Roman" w:cs="Arial"/>
                <w14:ligatures w14:val="none"/>
              </w:rPr>
            </w:pPr>
            <w:r>
              <w:rPr>
                <w:rFonts w:eastAsia="Times New Roman" w:cs="Arial" w:ascii="Arial" w:hAnsi="Arial"/>
                <w14:ligatures w14:val="none"/>
              </w:rPr>
            </w:r>
          </w:p>
        </w:tc>
      </w:tr>
    </w:tbl>
    <w:p>
      <w:pPr>
        <w:pStyle w:val="Normal"/>
        <w:spacing w:lineRule="auto" w:line="240" w:before="0" w:after="0"/>
        <w:jc w:val="both"/>
        <w:rPr>
          <w:rFonts w:ascii="Arial" w:hAnsi="Arial" w:eastAsia="Times New Roman" w:cs="Arial"/>
          <w:kern w:val="0"/>
          <w14:ligatures w14:val="none"/>
        </w:rPr>
      </w:pPr>
      <w:r>
        <w:rPr>
          <w:rFonts w:eastAsia="Times New Roman" w:cs="Arial" w:ascii="Arial" w:hAnsi="Arial"/>
          <w:kern w:val="0"/>
          <w14:ligatures w14:val="none"/>
        </w:rPr>
      </w:r>
    </w:p>
    <w:tbl>
      <w:tblPr>
        <w:tblW w:w="955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808"/>
        <w:gridCol w:w="3240"/>
        <w:gridCol w:w="3510"/>
      </w:tblGrid>
      <w:tr>
        <w:trPr/>
        <w:tc>
          <w:tcPr>
            <w:tcW w:w="9558" w:type="dxa"/>
            <w:gridSpan w:val="3"/>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b/>
                <w14:ligatures w14:val="none"/>
              </w:rPr>
            </w:pPr>
            <w:r>
              <w:rPr>
                <w:rFonts w:eastAsia="Times New Roman" w:cs="Arial" w:ascii="Arial" w:hAnsi="Arial"/>
                <w:b/>
                <w14:ligatures w14:val="none"/>
              </w:rPr>
              <w:t>1. SUTARTIES ŠALYS</w:t>
            </w:r>
          </w:p>
        </w:tc>
      </w:tr>
      <w:tr>
        <w:trPr/>
        <w:tc>
          <w:tcPr>
            <w:tcW w:w="2808" w:type="dxa"/>
            <w:vMerge w:val="restart"/>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b/>
                <w14:ligatures w14:val="none"/>
              </w:rPr>
            </w:pPr>
            <w:r>
              <w:rPr>
                <w:rFonts w:eastAsia="Times New Roman" w:cs="Arial" w:ascii="Arial" w:hAnsi="Arial"/>
                <w:b/>
                <w14:ligatures w14:val="none"/>
              </w:rPr>
            </w:r>
          </w:p>
          <w:p>
            <w:pPr>
              <w:pStyle w:val="Normal"/>
              <w:spacing w:lineRule="auto" w:line="240" w:before="0" w:after="0"/>
              <w:jc w:val="center"/>
              <w:rPr>
                <w:rFonts w:ascii="Arial" w:hAnsi="Arial" w:eastAsia="Times New Roman" w:cs="Arial"/>
                <w:b/>
                <w14:ligatures w14:val="none"/>
              </w:rPr>
            </w:pPr>
            <w:r>
              <w:rPr>
                <w:rFonts w:eastAsia="Times New Roman" w:cs="Arial" w:ascii="Arial" w:hAnsi="Arial"/>
                <w:b/>
                <w14:ligatures w14:val="none"/>
              </w:rPr>
            </w:r>
          </w:p>
          <w:p>
            <w:pPr>
              <w:pStyle w:val="Normal"/>
              <w:spacing w:lineRule="auto" w:line="240" w:before="0" w:after="0"/>
              <w:jc w:val="center"/>
              <w:rPr>
                <w:rFonts w:ascii="Arial" w:hAnsi="Arial" w:eastAsia="Times New Roman" w:cs="Arial"/>
                <w:b/>
                <w14:ligatures w14:val="none"/>
              </w:rPr>
            </w:pPr>
            <w:r>
              <w:rPr>
                <w:rFonts w:eastAsia="Times New Roman" w:cs="Arial" w:ascii="Arial" w:hAnsi="Arial"/>
                <w:b/>
                <w14:ligatures w14:val="none"/>
              </w:rPr>
            </w:r>
          </w:p>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r>
          </w:p>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t>1.1. Pirkėjas</w:t>
            </w:r>
          </w:p>
        </w:tc>
        <w:tc>
          <w:tcPr>
            <w:tcW w:w="324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14:ligatures w14:val="none"/>
              </w:rPr>
            </w:pPr>
            <w:r>
              <w:rPr>
                <w:rFonts w:eastAsia="Times New Roman" w:cs="Arial" w:ascii="Arial" w:hAnsi="Arial"/>
                <w14:ligatures w14:val="none"/>
              </w:rPr>
              <w:t>1.1.1. Pavadinimas</w:t>
            </w:r>
          </w:p>
        </w:tc>
        <w:tc>
          <w:tcPr>
            <w:tcW w:w="35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14:ligatures w14:val="none"/>
              </w:rPr>
            </w:pPr>
            <w:r>
              <w:rPr>
                <w:rFonts w:eastAsia="Times New Roman" w:cs="Arial" w:ascii="Arial" w:hAnsi="Arial"/>
                <w14:ligatures w14:val="none"/>
              </w:rPr>
              <w:t>Valstybės įmonė Valstybinių miškų urėdija</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14:ligatures w14:val="none"/>
              </w:rPr>
            </w:pPr>
            <w:r>
              <w:rPr>
                <w:rFonts w:eastAsia="Times New Roman" w:cs="Arial" w:ascii="Arial" w:hAnsi="Arial"/>
                <w14:ligatures w14:val="none"/>
              </w:rPr>
            </w:r>
          </w:p>
        </w:tc>
        <w:tc>
          <w:tcPr>
            <w:tcW w:w="324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14:ligatures w14:val="none"/>
              </w:rPr>
            </w:pPr>
            <w:r>
              <w:rPr>
                <w:rFonts w:eastAsia="Times New Roman" w:cs="Arial" w:ascii="Arial" w:hAnsi="Arial"/>
                <w14:ligatures w14:val="none"/>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14:ligatures w14:val="none"/>
              </w:rPr>
            </w:pPr>
            <w:r>
              <w:rPr>
                <w:rFonts w:eastAsia="Times New Roman" w:cs="Arial" w:ascii="Arial" w:hAnsi="Arial"/>
                <w14:ligatures w14:val="none"/>
              </w:rPr>
              <w:t>132340880</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14:ligatures w14:val="none"/>
              </w:rPr>
            </w:pPr>
            <w:r>
              <w:rPr>
                <w:rFonts w:eastAsia="Times New Roman" w:cs="Arial" w:ascii="Arial" w:hAnsi="Arial"/>
                <w14:ligatures w14:val="none"/>
              </w:rPr>
            </w:r>
          </w:p>
        </w:tc>
        <w:tc>
          <w:tcPr>
            <w:tcW w:w="324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14:ligatures w14:val="none"/>
              </w:rPr>
            </w:pPr>
            <w:r>
              <w:rPr>
                <w:rFonts w:eastAsia="Times New Roman" w:cs="Arial" w:ascii="Arial" w:hAnsi="Arial"/>
                <w14:ligatures w14:val="none"/>
              </w:rPr>
              <w:t>1.1.3. Adresas</w:t>
            </w:r>
          </w:p>
        </w:tc>
        <w:tc>
          <w:tcPr>
            <w:tcW w:w="35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14:ligatures w14:val="none"/>
              </w:rPr>
            </w:pPr>
            <w:r>
              <w:rPr>
                <w:rFonts w:eastAsia="Times New Roman" w:cs="Arial" w:ascii="Arial" w:hAnsi="Arial"/>
                <w14:ligatures w14:val="none"/>
              </w:rPr>
              <w:t>Pramonės pr. 11A-9, Kaunas</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14:ligatures w14:val="none"/>
              </w:rPr>
            </w:pPr>
            <w:r>
              <w:rPr>
                <w:rFonts w:eastAsia="Times New Roman" w:cs="Arial" w:ascii="Arial" w:hAnsi="Arial"/>
                <w14:ligatures w14:val="none"/>
              </w:rPr>
            </w:r>
          </w:p>
        </w:tc>
        <w:tc>
          <w:tcPr>
            <w:tcW w:w="324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14:ligatures w14:val="none"/>
              </w:rPr>
            </w:pPr>
            <w:r>
              <w:rPr>
                <w:rFonts w:eastAsia="Times New Roman" w:cs="Arial" w:ascii="Arial" w:hAnsi="Arial"/>
                <w14:ligatures w14:val="none"/>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14:ligatures w14:val="none"/>
              </w:rPr>
            </w:pPr>
            <w:r>
              <w:rPr>
                <w:rFonts w:eastAsia="Times New Roman" w:cs="Arial" w:ascii="Arial" w:hAnsi="Arial"/>
                <w14:ligatures w14:val="none"/>
              </w:rPr>
              <w:t>LT323408811</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14:ligatures w14:val="none"/>
              </w:rPr>
            </w:pPr>
            <w:r>
              <w:rPr>
                <w:rFonts w:eastAsia="Times New Roman" w:cs="Arial" w:ascii="Arial" w:hAnsi="Arial"/>
                <w14:ligatures w14:val="none"/>
              </w:rPr>
            </w:r>
          </w:p>
        </w:tc>
        <w:tc>
          <w:tcPr>
            <w:tcW w:w="324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14:ligatures w14:val="none"/>
              </w:rPr>
            </w:pPr>
            <w:r>
              <w:rPr>
                <w:rFonts w:eastAsia="Times New Roman" w:cs="Arial" w:ascii="Arial" w:hAnsi="Arial"/>
                <w14:ligatures w14:val="none"/>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pPr>
              <w:pStyle w:val="Normal"/>
              <w:spacing w:before="0" w:after="160"/>
              <w:jc w:val="center"/>
              <w:rPr>
                <w:rFonts w:ascii="Arial" w:hAnsi="Arial" w:eastAsia="Times New Roman" w:cs="Arial"/>
                <w14:ligatures w14:val="none"/>
              </w:rPr>
            </w:pPr>
            <w:r>
              <w:rPr>
                <w:rFonts w:eastAsia="Times New Roman" w:cs="Arial" w:ascii="Arial" w:hAnsi="Arial"/>
                <w14:ligatures w14:val="none"/>
              </w:rPr>
              <w:t>LT84 7044 0600 0812 3597</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14:ligatures w14:val="none"/>
              </w:rPr>
            </w:pPr>
            <w:r>
              <w:rPr>
                <w:rFonts w:eastAsia="Times New Roman" w:cs="Arial" w:ascii="Arial" w:hAnsi="Arial"/>
                <w14:ligatures w14:val="none"/>
              </w:rPr>
            </w:r>
          </w:p>
        </w:tc>
        <w:tc>
          <w:tcPr>
            <w:tcW w:w="324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14:ligatures w14:val="none"/>
              </w:rPr>
            </w:pPr>
            <w:r>
              <w:rPr>
                <w:rFonts w:eastAsia="Times New Roman" w:cs="Arial" w:ascii="Arial" w:hAnsi="Arial"/>
                <w14:ligatures w14:val="none"/>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14:ligatures w14:val="none"/>
              </w:rPr>
            </w:pPr>
            <w:r>
              <w:rPr>
                <w:rFonts w:eastAsia="Times New Roman" w:cs="Arial" w:ascii="Arial" w:hAnsi="Arial"/>
                <w14:ligatures w14:val="none"/>
              </w:rPr>
              <w:t>AB SEB bankas, banko kodas: 70440</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14:ligatures w14:val="none"/>
              </w:rPr>
            </w:pPr>
            <w:r>
              <w:rPr>
                <w:rFonts w:eastAsia="Times New Roman" w:cs="Arial" w:ascii="Arial" w:hAnsi="Arial"/>
                <w14:ligatures w14:val="none"/>
              </w:rPr>
            </w:r>
          </w:p>
        </w:tc>
        <w:tc>
          <w:tcPr>
            <w:tcW w:w="324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14:ligatures w14:val="none"/>
              </w:rPr>
            </w:pPr>
            <w:r>
              <w:rPr>
                <w:rFonts w:eastAsia="Times New Roman" w:cs="Arial" w:ascii="Arial" w:hAnsi="Arial"/>
                <w14:ligatures w14:val="none"/>
              </w:rPr>
              <w:t>1.1.7. Telefonas</w:t>
            </w:r>
          </w:p>
        </w:tc>
        <w:tc>
          <w:tcPr>
            <w:tcW w:w="35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14:ligatures w14:val="none"/>
              </w:rPr>
            </w:pPr>
            <w:r>
              <w:rPr>
                <w:rFonts w:eastAsia="Times New Roman" w:cs="Arial" w:ascii="Arial" w:hAnsi="Arial"/>
                <w14:ligatures w14:val="none"/>
              </w:rPr>
              <w:t>+370 5 273 4021</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14:ligatures w14:val="none"/>
              </w:rPr>
            </w:pPr>
            <w:r>
              <w:rPr>
                <w:rFonts w:eastAsia="Times New Roman" w:cs="Arial" w:ascii="Arial" w:hAnsi="Arial"/>
                <w14:ligatures w14:val="none"/>
              </w:rPr>
            </w:r>
          </w:p>
        </w:tc>
        <w:tc>
          <w:tcPr>
            <w:tcW w:w="324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14:ligatures w14:val="none"/>
              </w:rPr>
            </w:pPr>
            <w:r>
              <w:rPr>
                <w:rFonts w:eastAsia="Times New Roman" w:cs="Arial" w:ascii="Arial" w:hAnsi="Arial"/>
                <w14:ligatures w14:val="none"/>
              </w:rPr>
              <w:t>1.1.8. El. paštas</w:t>
            </w:r>
          </w:p>
        </w:tc>
        <w:tc>
          <w:tcPr>
            <w:tcW w:w="35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14:ligatures w14:val="none"/>
              </w:rPr>
            </w:pPr>
            <w:hyperlink r:id="rId2">
              <w:r>
                <w:rPr>
                  <w:rStyle w:val="Hyperlink"/>
                  <w:rFonts w:eastAsia="Times New Roman" w:cs="Arial" w:ascii="Arial" w:hAnsi="Arial"/>
                  <w14:ligatures w14:val="none"/>
                </w:rPr>
                <w:t>info@vmu.lt</w:t>
              </w:r>
            </w:hyperlink>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14:ligatures w14:val="none"/>
              </w:rPr>
            </w:pPr>
            <w:r>
              <w:rPr>
                <w:rFonts w:eastAsia="Times New Roman" w:cs="Arial" w:ascii="Arial" w:hAnsi="Arial"/>
                <w14:ligatures w14:val="none"/>
              </w:rPr>
            </w:r>
          </w:p>
        </w:tc>
        <w:tc>
          <w:tcPr>
            <w:tcW w:w="324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14:ligatures w14:val="none"/>
              </w:rPr>
            </w:pPr>
            <w:r>
              <w:rPr>
                <w:rFonts w:eastAsia="Times New Roman" w:cs="Arial" w:ascii="Arial" w:hAnsi="Arial"/>
                <w14:ligatures w14:val="none"/>
              </w:rPr>
              <w:t>1.1.9. Šalies atstovas</w:t>
            </w:r>
          </w:p>
        </w:tc>
        <w:tc>
          <w:tcPr>
            <w:tcW w:w="35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14:ligatures w14:val="none"/>
              </w:rPr>
            </w:pPr>
            <w:r>
              <w:rPr>
                <w:rFonts w:eastAsia="Times New Roman" w:cs="Arial" w:ascii="Arial" w:hAnsi="Arial"/>
                <w14:ligatures w14:val="none"/>
              </w:rPr>
              <w:t>Generalinis direktorius Valdas Kaubrė</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14:ligatures w14:val="none"/>
              </w:rPr>
            </w:pPr>
            <w:r>
              <w:rPr>
                <w:rFonts w:eastAsia="Times New Roman" w:cs="Arial" w:ascii="Arial" w:hAnsi="Arial"/>
                <w14:ligatures w14:val="none"/>
              </w:rPr>
            </w:r>
          </w:p>
        </w:tc>
        <w:tc>
          <w:tcPr>
            <w:tcW w:w="324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14:ligatures w14:val="none"/>
              </w:rPr>
            </w:pPr>
            <w:r>
              <w:rPr>
                <w:rFonts w:eastAsia="Times New Roman" w:cs="Arial" w:ascii="Arial" w:hAnsi="Arial"/>
                <w14:ligatures w14:val="none"/>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14:ligatures w14:val="none"/>
              </w:rPr>
            </w:pPr>
            <w:r>
              <w:rPr>
                <w:rFonts w:eastAsia="Times New Roman" w:cs="Arial" w:ascii="Arial" w:hAnsi="Arial"/>
                <w14:ligatures w14:val="none"/>
              </w:rPr>
              <w:t>Įmonės įstatai</w:t>
            </w:r>
          </w:p>
        </w:tc>
      </w:tr>
      <w:tr>
        <w:trPr/>
        <w:tc>
          <w:tcPr>
            <w:tcW w:w="2808" w:type="dxa"/>
            <w:vMerge w:val="restart"/>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r>
          </w:p>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r>
          </w:p>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r>
          </w:p>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t>1.2. Tiekėjas</w:t>
            </w:r>
          </w:p>
          <w:p>
            <w:pPr>
              <w:pStyle w:val="Normal"/>
              <w:spacing w:lineRule="auto" w:line="240" w:before="0" w:after="0"/>
              <w:rPr>
                <w:rFonts w:ascii="Arial" w:hAnsi="Arial" w:eastAsia="Times New Roman" w:cs="Arial"/>
                <w:color w:val="4472C4"/>
                <w14:ligatures w14:val="none"/>
              </w:rPr>
            </w:pPr>
            <w:r>
              <w:rPr>
                <w:rFonts w:eastAsia="Times New Roman" w:cs="Arial" w:ascii="Arial" w:hAnsi="Arial"/>
                <w:color w:val="4472C4"/>
                <w14:ligatures w14:val="none"/>
              </w:rPr>
              <w:t>(jei Tiekėjas yra fizinis asmuo, skiltys atitinkamai pakoreguojamos.</w:t>
            </w:r>
          </w:p>
          <w:p>
            <w:pPr>
              <w:pStyle w:val="Normal"/>
              <w:spacing w:lineRule="auto" w:line="240" w:before="0" w:after="0"/>
              <w:rPr>
                <w:rFonts w:ascii="Arial" w:hAnsi="Arial" w:eastAsia="Times New Roman" w:cs="Arial"/>
                <w:color w:val="4472C4"/>
                <w14:ligatures w14:val="none"/>
              </w:rPr>
            </w:pPr>
            <w:r>
              <w:rPr>
                <w:rFonts w:eastAsia="Times New Roman" w:cs="Arial" w:ascii="Arial" w:hAnsi="Arial"/>
                <w:color w:val="4472C4"/>
                <w14:ligatures w14:val="none"/>
              </w:rPr>
              <w:t>Jei Tiekėjas yra tiekėjų grupė, skiltys pildomos įterpiant kiekvieno grupės nario informaciją)</w:t>
            </w:r>
          </w:p>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r>
          </w:p>
        </w:tc>
        <w:tc>
          <w:tcPr>
            <w:tcW w:w="324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14:ligatures w14:val="none"/>
              </w:rPr>
            </w:pPr>
            <w:r>
              <w:rPr>
                <w:rFonts w:eastAsia="Times New Roman" w:cs="Arial" w:ascii="Arial" w:hAnsi="Arial"/>
                <w14:ligatures w14:val="none"/>
              </w:rPr>
              <w:t>1.2.1. Pavadinimas</w:t>
            </w:r>
          </w:p>
        </w:tc>
        <w:tc>
          <w:tcPr>
            <w:tcW w:w="3510" w:type="dxa"/>
            <w:tcBorders>
              <w:top w:val="single" w:sz="4" w:space="0" w:color="000000"/>
              <w:left w:val="single" w:sz="4" w:space="0" w:color="000000"/>
              <w:bottom w:val="single" w:sz="4" w:space="0" w:color="000000"/>
              <w:right w:val="single" w:sz="4" w:space="0" w:color="000000"/>
            </w:tcBorders>
          </w:tcPr>
          <w:p>
            <w:pPr>
              <w:pStyle w:val="Normal"/>
              <w:tabs>
                <w:tab w:val="clear" w:pos="1296"/>
                <w:tab w:val="left" w:pos="1092" w:leader="none"/>
              </w:tabs>
              <w:spacing w:lineRule="auto" w:line="240" w:before="0" w:after="0"/>
              <w:rPr>
                <w:rFonts w:ascii="Arial" w:hAnsi="Arial" w:eastAsia="Times New Roman" w:cs="Arial"/>
                <w14:ligatures w14:val="none"/>
              </w:rPr>
            </w:pPr>
            <w:r>
              <w:rPr>
                <w:rFonts w:eastAsia="Times New Roman" w:cs="Arial" w:ascii="Arial" w:hAnsi="Arial"/>
                <w14:ligatures w14:val="none"/>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r>
          </w:p>
        </w:tc>
        <w:tc>
          <w:tcPr>
            <w:tcW w:w="324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14:ligatures w14:val="none"/>
              </w:rPr>
            </w:pPr>
            <w:r>
              <w:rPr>
                <w:rFonts w:eastAsia="Times New Roman" w:cs="Arial" w:ascii="Arial" w:hAnsi="Arial"/>
                <w14:ligatures w14:val="none"/>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14:ligatures w14:val="none"/>
              </w:rPr>
            </w:pPr>
            <w:r>
              <w:rPr>
                <w:rFonts w:eastAsia="Times New Roman" w:cs="Arial" w:ascii="Arial" w:hAnsi="Arial"/>
                <w14:ligatures w14:val="none"/>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r>
          </w:p>
        </w:tc>
        <w:tc>
          <w:tcPr>
            <w:tcW w:w="324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14:ligatures w14:val="none"/>
              </w:rPr>
            </w:pPr>
            <w:r>
              <w:rPr>
                <w:rFonts w:eastAsia="Times New Roman" w:cs="Arial" w:ascii="Arial" w:hAnsi="Arial"/>
                <w14:ligatures w14:val="none"/>
              </w:rPr>
              <w:t>1.2.3. Adresas</w:t>
            </w:r>
          </w:p>
        </w:tc>
        <w:tc>
          <w:tcPr>
            <w:tcW w:w="35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14:ligatures w14:val="none"/>
              </w:rPr>
            </w:pPr>
            <w:r>
              <w:rPr>
                <w:rFonts w:eastAsia="Times New Roman" w:cs="Arial" w:ascii="Arial" w:hAnsi="Arial"/>
                <w14:ligatures w14:val="none"/>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r>
          </w:p>
        </w:tc>
        <w:tc>
          <w:tcPr>
            <w:tcW w:w="324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14:ligatures w14:val="none"/>
              </w:rPr>
            </w:pPr>
            <w:r>
              <w:rPr>
                <w:rFonts w:eastAsia="Times New Roman" w:cs="Arial" w:ascii="Arial" w:hAnsi="Arial"/>
                <w14:ligatures w14:val="none"/>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14:ligatures w14:val="none"/>
              </w:rPr>
            </w:pPr>
            <w:r>
              <w:rPr>
                <w:rFonts w:eastAsia="Times New Roman" w:cs="Arial" w:ascii="Arial" w:hAnsi="Arial"/>
                <w14:ligatures w14:val="none"/>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r>
          </w:p>
        </w:tc>
        <w:tc>
          <w:tcPr>
            <w:tcW w:w="324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14:ligatures w14:val="none"/>
              </w:rPr>
            </w:pPr>
            <w:r>
              <w:rPr>
                <w:rFonts w:eastAsia="Times New Roman" w:cs="Arial" w:ascii="Arial" w:hAnsi="Arial"/>
                <w14:ligatures w14:val="none"/>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14:ligatures w14:val="none"/>
              </w:rPr>
            </w:pPr>
            <w:r>
              <w:rPr>
                <w:rFonts w:eastAsia="Times New Roman" w:cs="Arial" w:ascii="Arial" w:hAnsi="Arial"/>
                <w14:ligatures w14:val="none"/>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r>
          </w:p>
        </w:tc>
        <w:tc>
          <w:tcPr>
            <w:tcW w:w="324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14:ligatures w14:val="none"/>
              </w:rPr>
            </w:pPr>
            <w:r>
              <w:rPr>
                <w:rFonts w:eastAsia="Times New Roman" w:cs="Arial" w:ascii="Arial" w:hAnsi="Arial"/>
                <w14:ligatures w14:val="none"/>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14:ligatures w14:val="none"/>
              </w:rPr>
            </w:pPr>
            <w:r>
              <w:rPr>
                <w:rFonts w:eastAsia="Times New Roman" w:cs="Arial" w:ascii="Arial" w:hAnsi="Arial"/>
                <w14:ligatures w14:val="none"/>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r>
          </w:p>
        </w:tc>
        <w:tc>
          <w:tcPr>
            <w:tcW w:w="324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14:ligatures w14:val="none"/>
              </w:rPr>
            </w:pPr>
            <w:r>
              <w:rPr>
                <w:rFonts w:eastAsia="Times New Roman" w:cs="Arial" w:ascii="Arial" w:hAnsi="Arial"/>
                <w14:ligatures w14:val="none"/>
              </w:rPr>
              <w:t>1.2.7. Telefonas</w:t>
            </w:r>
          </w:p>
        </w:tc>
        <w:tc>
          <w:tcPr>
            <w:tcW w:w="35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14:ligatures w14:val="none"/>
              </w:rPr>
            </w:pPr>
            <w:r>
              <w:rPr>
                <w:rFonts w:eastAsia="Times New Roman" w:cs="Arial" w:ascii="Arial" w:hAnsi="Arial"/>
                <w14:ligatures w14:val="none"/>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r>
          </w:p>
        </w:tc>
        <w:tc>
          <w:tcPr>
            <w:tcW w:w="324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14:ligatures w14:val="none"/>
              </w:rPr>
            </w:pPr>
            <w:r>
              <w:rPr>
                <w:rFonts w:eastAsia="Times New Roman" w:cs="Arial" w:ascii="Arial" w:hAnsi="Arial"/>
                <w14:ligatures w14:val="none"/>
              </w:rPr>
              <w:t>1.2.8. El. paštas</w:t>
            </w:r>
          </w:p>
        </w:tc>
        <w:tc>
          <w:tcPr>
            <w:tcW w:w="35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14:ligatures w14:val="none"/>
              </w:rPr>
            </w:pPr>
            <w:r>
              <w:rPr>
                <w:rFonts w:eastAsia="Times New Roman" w:cs="Arial" w:ascii="Arial" w:hAnsi="Arial"/>
                <w14:ligatures w14:val="none"/>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r>
          </w:p>
        </w:tc>
        <w:tc>
          <w:tcPr>
            <w:tcW w:w="324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14:ligatures w14:val="none"/>
              </w:rPr>
            </w:pPr>
            <w:r>
              <w:rPr>
                <w:rFonts w:eastAsia="Times New Roman" w:cs="Arial" w:ascii="Arial" w:hAnsi="Arial"/>
                <w14:ligatures w14:val="none"/>
              </w:rPr>
              <w:t>1.2.9. Šalies atstovas</w:t>
            </w:r>
          </w:p>
        </w:tc>
        <w:tc>
          <w:tcPr>
            <w:tcW w:w="35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14:ligatures w14:val="none"/>
              </w:rPr>
            </w:pPr>
            <w:r>
              <w:rPr>
                <w:rFonts w:eastAsia="Times New Roman" w:cs="Arial" w:ascii="Arial" w:hAnsi="Arial"/>
                <w14:ligatures w14:val="none"/>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r>
          </w:p>
        </w:tc>
        <w:tc>
          <w:tcPr>
            <w:tcW w:w="324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14:ligatures w14:val="none"/>
              </w:rPr>
            </w:pPr>
            <w:r>
              <w:rPr>
                <w:rFonts w:eastAsia="Times New Roman" w:cs="Arial" w:ascii="Arial" w:hAnsi="Arial"/>
                <w14:ligatures w14:val="none"/>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14:ligatures w14:val="none"/>
              </w:rPr>
            </w:pPr>
            <w:r>
              <w:rPr>
                <w:rFonts w:eastAsia="Times New Roman" w:cs="Arial" w:ascii="Arial" w:hAnsi="Arial"/>
                <w14:ligatures w14:val="none"/>
              </w:rPr>
            </w:r>
          </w:p>
        </w:tc>
      </w:tr>
    </w:tbl>
    <w:p>
      <w:pPr>
        <w:pStyle w:val="Normal"/>
        <w:spacing w:lineRule="auto" w:line="240" w:before="0" w:after="0"/>
        <w:jc w:val="both"/>
        <w:rPr>
          <w:rFonts w:ascii="Arial" w:hAnsi="Arial" w:eastAsia="Times New Roman" w:cs="Arial"/>
          <w:kern w:val="0"/>
          <w14:ligatures w14:val="none"/>
        </w:rPr>
      </w:pPr>
      <w:r>
        <w:rPr>
          <w:rFonts w:eastAsia="Times New Roman" w:cs="Arial" w:ascii="Arial" w:hAnsi="Arial"/>
          <w:kern w:val="0"/>
          <w14:ligatures w14:val="none"/>
        </w:rPr>
      </w:r>
    </w:p>
    <w:tbl>
      <w:tblPr>
        <w:tblW w:w="9535"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3056"/>
        <w:gridCol w:w="40"/>
        <w:gridCol w:w="2130"/>
        <w:gridCol w:w="4308"/>
      </w:tblGrid>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b/>
                <w14:ligatures w14:val="none"/>
              </w:rPr>
            </w:pPr>
            <w:r>
              <w:rPr>
                <w:rFonts w:eastAsia="Times New Roman" w:cs="Arial" w:ascii="Arial" w:hAnsi="Arial"/>
                <w:b/>
                <w14:ligatures w14:val="none"/>
              </w:rPr>
              <w:t>2. ATSAKINGI ASMENYS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t xml:space="preserve">2.1. Pirkėjo kontaktiniai asmenys, atsakingi už Sutarties vykdymą, </w:t>
            </w:r>
            <w:r>
              <w:rPr>
                <w:rFonts w:eastAsia="Times New Roman" w:cs="Arial" w:ascii="Arial" w:hAnsi="Arial"/>
                <w:b/>
                <w:kern w:val="0"/>
                <w14:ligatures w14:val="none"/>
              </w:rPr>
              <w:t>Paslaugų</w:t>
            </w:r>
            <w:r>
              <w:rPr>
                <w:rFonts w:eastAsia="Times New Roman" w:cs="Arial" w:ascii="Arial" w:hAnsi="Arial"/>
                <w:b/>
                <w14:ligatures w14:val="none"/>
              </w:rPr>
              <w:t xml:space="preserve"> priėmimą, Sąskaitų per informacinę sistemą SABIS priėmimą</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eastAsia="Times New Roman" w:cs="Arial"/>
                <w:color w:val="4472C4"/>
                <w14:ligatures w14:val="none"/>
              </w:rPr>
            </w:pPr>
            <w:r>
              <w:rPr>
                <w:rFonts w:eastAsia="Times New Roman" w:cs="Arial" w:ascii="Arial" w:hAnsi="Arial"/>
                <w:color w:val="4472C4"/>
                <w14:ligatures w14:val="none"/>
              </w:rPr>
              <w:t>(nurodyti padalinį / skyrių, pareigas, vardą, pavardę, tel., el. paštą)</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t>2.2. Tiekėjo kontaktiniai asmenys, atsakingi už Sutarties vykdymą</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eastAsia="Times New Roman" w:cs="Arial"/>
                <w:color w:val="4472C4"/>
                <w14:ligatures w14:val="none"/>
              </w:rPr>
            </w:pPr>
            <w:r>
              <w:rPr>
                <w:rFonts w:eastAsia="Times New Roman" w:cs="Arial" w:ascii="Arial" w:hAnsi="Arial"/>
                <w:color w:val="4472C4"/>
                <w14:ligatures w14:val="none"/>
              </w:rPr>
              <w:t>(nurodyti padalinį / skyrių, pareigas, vardą, pavardę, tel., el. paštą)</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b/>
                <w14:ligatures w14:val="none"/>
              </w:rPr>
            </w:pPr>
            <w:r>
              <w:rPr>
                <w:rFonts w:eastAsia="Times New Roman" w:cs="Arial" w:ascii="Arial" w:hAnsi="Arial"/>
                <w:b/>
                <w14:ligatures w14:val="none"/>
              </w:rPr>
              <w:t>3. SUTARTIES DALYKAS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t>3.1. Sutarties dalykas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eastAsia="Times New Roman" w:cs="Arial"/>
                <w:color w:val="000000"/>
                <w14:ligatures w14:val="none"/>
              </w:rPr>
            </w:pPr>
            <w:r>
              <w:rPr>
                <w:rFonts w:eastAsia="Times New Roman" w:cs="Arial" w:ascii="Arial" w:hAnsi="Arial"/>
                <w14:ligatures w14:val="none"/>
              </w:rPr>
              <w:t xml:space="preserve">Tiekėjas įsipareigoja Sutartyje numatytomis sąlygomis suteikti Pirkėjui Nekilnojamojo turto draudimo paslaugas (toliau – Paslaugos). </w:t>
            </w:r>
            <w:r>
              <w:rPr>
                <w:rFonts w:eastAsia="Times New Roman" w:cs="Arial" w:ascii="Arial" w:hAnsi="Arial"/>
                <w:color w:val="000000"/>
                <w14:ligatures w14:val="none"/>
              </w:rPr>
              <w:t xml:space="preserve">Išsamus </w:t>
            </w:r>
            <w:r>
              <w:rPr>
                <w:rFonts w:eastAsia="Times New Roman" w:cs="Arial" w:ascii="Arial" w:hAnsi="Arial"/>
                <w:color w:val="000000"/>
                <w:kern w:val="0"/>
                <w14:ligatures w14:val="none"/>
              </w:rPr>
              <w:t>Paslaugų</w:t>
            </w:r>
            <w:r>
              <w:rPr>
                <w:rFonts w:eastAsia="Times New Roman" w:cs="Arial" w:ascii="Arial" w:hAnsi="Arial"/>
                <w:color w:val="000000"/>
                <w14:ligatures w14:val="none"/>
              </w:rPr>
              <w:t xml:space="preserve"> aprašymas ir kiti reikalavimai teikiamoms </w:t>
            </w:r>
            <w:r>
              <w:rPr>
                <w:rFonts w:eastAsia="Times New Roman" w:cs="Arial" w:ascii="Arial" w:hAnsi="Arial"/>
                <w:color w:val="000000"/>
                <w:kern w:val="0"/>
                <w14:ligatures w14:val="none"/>
              </w:rPr>
              <w:t>Paslaugoms</w:t>
            </w:r>
            <w:r>
              <w:rPr>
                <w:rFonts w:eastAsia="Times New Roman" w:cs="Arial" w:ascii="Arial" w:hAnsi="Arial"/>
                <w:color w:val="000000"/>
                <w14:ligatures w14:val="none"/>
              </w:rPr>
              <w:t xml:space="preserve"> nustatyti Sutarties specialiųjų sąlygų priede Nr. 1 „Techninė specifikacija“ (toliau – Techninė specifikacija),  Sutarties specialiųjų sąlygų priede Nr. 2  „Pasiūlymas“ ir Sutarties specialiųjų sąlygų priede Nr. 5 „Draudimo liudijimas (polisas)“.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t>3.2. Pirkimo pavadinimas ir numeris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eastAsia="Times New Roman" w:cs="Arial"/>
                <w14:ligatures w14:val="none"/>
              </w:rPr>
            </w:pPr>
            <w:r>
              <w:rPr>
                <w:rFonts w:eastAsia="Times New Roman" w:cs="Arial" w:ascii="Arial" w:hAnsi="Arial"/>
                <w:color w:val="4472C4"/>
                <w14:ligatures w14:val="none"/>
              </w:rPr>
              <w:t>(nurodoma sutarties sudarymo metu)</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t>3.3. Informacija apie Europos Sąjungos lėšomis finansuojamą projektą arba kitą projektą</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eastAsia="Times New Roman" w:cs="Arial"/>
                <w14:ligatures w14:val="none"/>
              </w:rPr>
            </w:pPr>
            <w:r>
              <w:rPr>
                <w:rFonts w:eastAsia="Times New Roman" w:cs="Arial" w:ascii="Arial" w:hAnsi="Arial"/>
                <w14:ligatures w14:val="none"/>
              </w:rPr>
              <w:t>Netaikoma</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b/>
                <w14:ligatures w14:val="none"/>
              </w:rPr>
            </w:pPr>
            <w:r>
              <w:rPr>
                <w:rFonts w:eastAsia="Times New Roman" w:cs="Arial" w:ascii="Arial" w:hAnsi="Arial"/>
                <w:b/>
                <w14:ligatures w14:val="none"/>
              </w:rPr>
              <w:t xml:space="preserve">4. PASLAUGŲ SUTEIKIMO TERMINAI IR PASLAUGŲ PERDAVIMO </w:t>
            </w:r>
            <w:r>
              <w:rPr>
                <w:rFonts w:eastAsia="Times New Roman" w:cs="Arial" w:ascii="Arial" w:hAnsi="Arial"/>
                <w:color w:val="000000"/>
                <w14:ligatures w14:val="none"/>
              </w:rPr>
              <w:t>–</w:t>
            </w:r>
            <w:r>
              <w:rPr>
                <w:rFonts w:eastAsia="Times New Roman" w:cs="Arial" w:ascii="Arial" w:hAnsi="Arial"/>
                <w:b/>
                <w14:ligatures w14:val="none"/>
              </w:rPr>
              <w:t xml:space="preserve"> PRIĖMIMO TVARKA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t xml:space="preserve">4.1. </w:t>
            </w:r>
            <w:r>
              <w:rPr>
                <w:rFonts w:eastAsia="Times New Roman" w:cs="Arial" w:ascii="Arial" w:hAnsi="Arial"/>
                <w:b/>
                <w:kern w:val="0"/>
                <w14:ligatures w14:val="none"/>
              </w:rPr>
              <w:t>Paslaugų</w:t>
            </w:r>
            <w:r>
              <w:rPr>
                <w:rFonts w:eastAsia="Times New Roman" w:cs="Arial" w:ascii="Arial" w:hAnsi="Arial"/>
                <w:b/>
                <w14:ligatures w14:val="none"/>
              </w:rPr>
              <w:t xml:space="preserve"> </w:t>
            </w:r>
            <w:r>
              <w:rPr>
                <w:rFonts w:eastAsia="Times New Roman" w:cs="Arial" w:ascii="Arial" w:hAnsi="Arial"/>
                <w:b/>
                <w:kern w:val="0"/>
                <w14:ligatures w14:val="none"/>
              </w:rPr>
              <w:t>suteikimo</w:t>
            </w:r>
            <w:r>
              <w:rPr>
                <w:rFonts w:eastAsia="Times New Roman" w:cs="Arial" w:ascii="Arial" w:hAnsi="Arial"/>
                <w:b/>
                <w14:ligatures w14:val="none"/>
              </w:rPr>
              <w:t xml:space="preserve"> terminas, kai </w:t>
            </w:r>
            <w:r>
              <w:rPr>
                <w:rFonts w:eastAsia="Times New Roman" w:cs="Arial" w:ascii="Arial" w:hAnsi="Arial"/>
                <w:b/>
                <w:kern w:val="0"/>
                <w14:ligatures w14:val="none"/>
              </w:rPr>
              <w:t>Paslaugos yra vienkartinio pobūdžio, teikiamos periodiškai arba pagal Pirkėjo Užsakymą</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14:ligatures w14:val="none"/>
              </w:rPr>
            </w:pPr>
            <w:r>
              <w:rPr>
                <w:rFonts w:eastAsia="Times New Roman" w:cs="Arial" w:ascii="Arial" w:hAnsi="Arial"/>
                <w:kern w:val="0"/>
                <w14:ligatures w14:val="none"/>
              </w:rPr>
              <w:t>Tiekėjas paslaugas įsipareigoja teikti nuo 2026 m. spalio 23 d. 00:00 val. iki 2027 m. spalio  22 d. 24:00 val.</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t>4.2. Paslaugų / jų dalies / etapo / periodo suteikimo termino pratęsimas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eastAsia="Times New Roman" w:cs="Arial"/>
                <w14:ligatures w14:val="none"/>
              </w:rPr>
            </w:pPr>
            <w:r>
              <w:rPr>
                <w:rFonts w:eastAsia="Times New Roman" w:cs="Arial" w:ascii="Arial" w:hAnsi="Arial"/>
                <w14:ligatures w14:val="none"/>
              </w:rPr>
              <w:t>Jeigu Sutarties Bendrųjų sąlygų 21 skyriuje nustatyta tvarka Sutarties vykdymas yra sustabdomas, atnaujinus Sutarties vykdymą, Paslaugų suteikimo terminas gali būti nukeliamas tokiam pačiam laikotarpiui, kokiam buvo sustabdytas Sutarties vykdymas.</w:t>
            </w:r>
          </w:p>
          <w:p>
            <w:pPr>
              <w:pStyle w:val="Normal"/>
              <w:spacing w:lineRule="auto" w:line="240" w:before="0" w:after="0"/>
              <w:jc w:val="both"/>
              <w:rPr>
                <w:rFonts w:ascii="Arial" w:hAnsi="Arial" w:eastAsia="Times New Roman" w:cs="Arial"/>
                <w14:ligatures w14:val="none"/>
              </w:rPr>
            </w:pPr>
            <w:r>
              <w:rPr>
                <w:rFonts w:eastAsia="Times New Roman" w:cs="Arial" w:ascii="Arial" w:hAnsi="Arial"/>
                <w14:ligatures w14:val="none"/>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t>4.3. Užsakymų teikimo tvarka</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eastAsia="Times New Roman" w:cs="Arial"/>
                <w:kern w:val="0"/>
                <w14:ligatures w14:val="none"/>
              </w:rPr>
            </w:pPr>
            <w:r>
              <w:rPr>
                <w:rFonts w:eastAsia="Times New Roman" w:cs="Arial" w:ascii="Arial" w:hAnsi="Arial"/>
                <w14:ligatures w14:val="none"/>
              </w:rPr>
              <w:t>Netaikoma</w:t>
            </w:r>
          </w:p>
        </w:tc>
      </w:tr>
      <w:tr>
        <w:trPr>
          <w:trHeight w:val="82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t>4.4. Dėl minimalios Užsakymo vertės ar apimties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eastAsia="Times New Roman" w:cs="Arial"/>
                <w14:ligatures w14:val="none"/>
              </w:rPr>
            </w:pPr>
            <w:r>
              <w:rPr>
                <w:rFonts w:eastAsia="Times New Roman" w:cs="Arial" w:ascii="Arial" w:hAnsi="Arial"/>
                <w14:ligatures w14:val="none"/>
              </w:rPr>
              <w:t>Netaikoma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t>4.5. Pateikiami dokumentai</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eastAsia="Times New Roman" w:cs="Arial"/>
                <w14:ligatures w14:val="none"/>
              </w:rPr>
            </w:pPr>
            <w:r>
              <w:rPr>
                <w:rFonts w:eastAsia="Times New Roman" w:cs="Arial" w:ascii="Arial" w:hAnsi="Arial"/>
                <w14:ligatures w14:val="none"/>
              </w:rPr>
              <w:t>Netaikoma</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b/>
                <w14:ligatures w14:val="none"/>
              </w:rPr>
            </w:pPr>
            <w:r>
              <w:rPr>
                <w:rFonts w:eastAsia="Times New Roman" w:cs="Arial" w:ascii="Arial" w:hAnsi="Arial"/>
                <w:b/>
                <w14:ligatures w14:val="none"/>
              </w:rPr>
              <w:t>5. SUTARTIES KAINA IR ATSISKAITYMO TVARKA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t>5.1. Sutarčiai taikomas kainos apskaičiavimo būdas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14:ligatures w14:val="none"/>
              </w:rPr>
            </w:pPr>
            <w:r>
              <w:rPr>
                <w:rFonts w:eastAsia="Times New Roman" w:cs="Arial" w:ascii="Arial" w:hAnsi="Arial"/>
                <w14:ligatures w14:val="none"/>
              </w:rPr>
              <w:t>Fiksuotos kainos kainodara.</w:t>
            </w:r>
          </w:p>
          <w:p>
            <w:pPr>
              <w:pStyle w:val="Normal"/>
              <w:spacing w:lineRule="auto" w:line="240" w:before="0" w:after="0"/>
              <w:rPr>
                <w:rFonts w:ascii="Arial" w:hAnsi="Arial" w:eastAsia="Times New Roman" w:cs="Arial"/>
                <w:color w:val="4472C4"/>
                <w14:ligatures w14:val="none"/>
              </w:rPr>
            </w:pPr>
            <w:r>
              <w:rPr>
                <w:rFonts w:eastAsia="Times New Roman" w:cs="Arial" w:ascii="Arial" w:hAnsi="Arial"/>
                <w:color w:val="4472C4"/>
                <w14:ligatures w14:val="none"/>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t xml:space="preserve">5.2. Pradinės Sutarties vertė ir Sutarties kaina, kai taikoma </w:t>
            </w:r>
            <w:r>
              <w:rPr>
                <w:rFonts w:eastAsia="Times New Roman" w:cs="Arial" w:ascii="Arial" w:hAnsi="Arial"/>
                <w:b/>
                <w:u w:val="single"/>
                <w14:ligatures w14:val="none"/>
              </w:rPr>
              <w:t>fiksuotos kainos</w:t>
            </w:r>
            <w:r>
              <w:rPr>
                <w:rFonts w:eastAsia="Times New Roman" w:cs="Arial" w:ascii="Arial" w:hAnsi="Arial"/>
                <w:b/>
                <w14:ligatures w14:val="none"/>
              </w:rPr>
              <w:t xml:space="preserve"> kainodara</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eastAsia="Times New Roman" w:cs="Arial"/>
                <w:kern w:val="0"/>
                <w14:ligatures w14:val="none"/>
              </w:rPr>
            </w:pPr>
            <w:r>
              <w:rPr>
                <w:rFonts w:eastAsia="Times New Roman" w:cs="Arial" w:ascii="Arial" w:hAnsi="Arial"/>
                <w14:ligatures w14:val="none"/>
              </w:rPr>
              <w:t>Pradinės Sutarties vertė yra ______ Eur (___eurų, ___ ct) be pridėtinės vertės mokesčio (toliau – PVM).</w:t>
            </w:r>
          </w:p>
          <w:p>
            <w:pPr>
              <w:pStyle w:val="Normal"/>
              <w:widowControl/>
              <w:suppressAutoHyphens w:val="true"/>
              <w:bidi w:val="0"/>
              <w:spacing w:lineRule="auto" w:line="240" w:before="0" w:after="0"/>
              <w:jc w:val="left"/>
              <w:rPr>
                <w:rFonts w:ascii="Arial" w:hAnsi="Arial" w:eastAsia="Times New Roman" w:cs="Arial"/>
                <w14:ligatures w14:val="none"/>
              </w:rPr>
            </w:pPr>
            <w:r>
              <w:rPr>
                <w:rFonts w:eastAsia="Times New Roman" w:cs="Arial" w:ascii="Arial" w:hAnsi="Arial"/>
                <w14:ligatures w14:val="none"/>
              </w:rPr>
            </w:r>
          </w:p>
          <w:p>
            <w:pPr>
              <w:pStyle w:val="Normal"/>
              <w:rPr>
                <w:rFonts w:ascii="Arial" w:hAnsi="Arial"/>
                <w:b/>
                <w:bCs/>
              </w:rPr>
            </w:pPr>
            <w:r>
              <w:rPr>
                <w:rFonts w:ascii="Arial" w:hAnsi="Arial"/>
                <w:b/>
                <w:bCs/>
                <w:color w:val="000000"/>
                <w:kern w:val="2"/>
                <w:szCs w:val="24"/>
              </w:rPr>
              <w:t>Vadovaujantis Lietuvos Respublikos pridėtinės vertės mokesčio įstatymo 27 straipsniu, Paslaugos PVM neapmokestinamos.</w:t>
            </w:r>
          </w:p>
          <w:p>
            <w:pPr>
              <w:pStyle w:val="Normal"/>
              <w:spacing w:lineRule="auto" w:line="240" w:before="0" w:after="0"/>
              <w:rPr>
                <w:rFonts w:ascii="Arial" w:hAnsi="Arial" w:eastAsia="Times New Roman" w:cs="Arial"/>
                <w14:ligatures w14:val="none"/>
              </w:rPr>
            </w:pPr>
            <w:r>
              <w:rPr>
                <w:rFonts w:eastAsia="Times New Roman" w:cs="Arial" w:ascii="Arial" w:hAnsi="Arial"/>
                <w14:ligatures w14:val="none"/>
              </w:rPr>
            </w:r>
          </w:p>
          <w:p>
            <w:pPr>
              <w:pStyle w:val="Normal"/>
              <w:spacing w:lineRule="auto" w:line="240" w:before="0" w:after="0"/>
              <w:rPr>
                <w:rFonts w:ascii="Arial" w:hAnsi="Arial" w:eastAsia="Times New Roman" w:cs="Arial"/>
                <w14:ligatures w14:val="none"/>
              </w:rPr>
            </w:pPr>
            <w:r>
              <w:rPr>
                <w:rFonts w:eastAsia="Times New Roman" w:cs="Arial" w:ascii="Arial" w:hAnsi="Arial"/>
                <w14:ligatures w14:val="none"/>
              </w:rPr>
              <w:t>Šioje Sutartyje Pradinės Sutarties vertė yra lygi Tiekėjo pasiūlymo kainai, nurodytai už visą pirkimo dokumentuose ir Sutartyje nurodytą Paslaugų kiekį ir (ar) apimtį.</w:t>
            </w:r>
          </w:p>
          <w:p>
            <w:pPr>
              <w:pStyle w:val="Normal"/>
              <w:spacing w:lineRule="auto" w:line="240" w:before="0" w:after="0"/>
              <w:jc w:val="both"/>
              <w:rPr>
                <w:rFonts w:ascii="Arial" w:hAnsi="Arial" w:eastAsia="Times New Roman" w:cs="Arial"/>
                <w:color w:val="000000"/>
                <w14:ligatures w14:val="none"/>
              </w:rPr>
            </w:pPr>
            <w:r>
              <w:rPr>
                <w:rFonts w:eastAsia="Times New Roman" w:cs="Arial" w:ascii="Arial" w:hAnsi="Arial"/>
                <w:color w:val="000000"/>
                <w14:ligatures w14:val="none"/>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highlight w:val="yellow"/>
                <w14:ligatures w14:val="none"/>
              </w:rPr>
            </w:pPr>
            <w:r>
              <w:rPr>
                <w:rFonts w:eastAsia="Times New Roman" w:cs="Arial" w:ascii="Arial" w:hAnsi="Arial"/>
                <w:b/>
                <w14:ligatures w14:val="none"/>
              </w:rPr>
              <w:t xml:space="preserve">5.3. Sutarties kainos / įkainių perskaičiavimas taikant </w:t>
            </w:r>
            <w:r>
              <w:rPr>
                <w:rFonts w:eastAsia="Times New Roman" w:cs="Arial" w:ascii="Arial" w:hAnsi="Arial"/>
                <w:b/>
                <w:u w:val="single"/>
                <w14:ligatures w14:val="none"/>
              </w:rPr>
              <w:t>peržiūros</w:t>
            </w:r>
            <w:r>
              <w:rPr>
                <w:rFonts w:eastAsia="Times New Roman" w:cs="Arial" w:ascii="Arial" w:hAnsi="Arial"/>
                <w:b/>
                <w14:ligatures w14:val="none"/>
              </w:rPr>
              <w:t xml:space="preserve"> taisykles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eastAsia="Times New Roman" w:cs="Arial"/>
                <w:kern w:val="0"/>
                <w14:ligatures w14:val="none"/>
              </w:rPr>
            </w:pPr>
            <w:r>
              <w:rPr>
                <w:rFonts w:eastAsia="Times New Roman" w:cs="Arial" w:ascii="Arial" w:hAnsi="Arial"/>
                <w:kern w:val="0"/>
                <w14:ligatures w14:val="none"/>
              </w:rPr>
              <w:t>Sutarties kaina / įkainiai bus perskaičiuojami:</w:t>
            </w:r>
          </w:p>
          <w:p>
            <w:pPr>
              <w:pStyle w:val="Normal"/>
              <w:spacing w:lineRule="auto" w:line="240" w:before="0" w:after="0"/>
              <w:jc w:val="both"/>
              <w:rPr>
                <w:rFonts w:ascii="Arial" w:hAnsi="Arial" w:eastAsia="Times New Roman" w:cs="Arial"/>
                <w:kern w:val="0"/>
                <w14:ligatures w14:val="none"/>
              </w:rPr>
            </w:pPr>
            <w:r>
              <w:rPr>
                <w:rFonts w:eastAsia="Times New Roman" w:cs="Arial" w:ascii="Arial" w:hAnsi="Arial"/>
                <w:kern w:val="0"/>
                <w14:ligatures w14:val="none"/>
              </w:rPr>
              <w:t>5.3.1. dėl PVM tarifo pasikeitimo;</w:t>
            </w:r>
          </w:p>
          <w:p>
            <w:pPr>
              <w:pStyle w:val="Normal"/>
              <w:spacing w:lineRule="auto" w:line="240" w:before="0" w:after="0"/>
              <w:jc w:val="both"/>
              <w:rPr>
                <w:rFonts w:ascii="Arial" w:hAnsi="Arial" w:eastAsia="Times New Roman" w:cs="Arial"/>
                <w:kern w:val="0"/>
                <w14:ligatures w14:val="none"/>
              </w:rPr>
            </w:pPr>
            <w:r>
              <w:rPr>
                <w:rFonts w:eastAsia="Times New Roman" w:cs="Arial" w:ascii="Arial" w:hAnsi="Arial"/>
                <w:kern w:val="0"/>
                <w14:ligatures w14:val="none"/>
              </w:rPr>
              <w:t>5.3.2. dėl kitų mokesčių, lemiančių Paslaugų kainos / įkainių pokytį, pasikeitimo (dėl saugumo įnašo tarifo);</w:t>
            </w:r>
          </w:p>
          <w:p>
            <w:pPr>
              <w:pStyle w:val="Normal"/>
              <w:spacing w:lineRule="auto" w:line="240" w:before="0" w:after="0"/>
              <w:jc w:val="both"/>
              <w:rPr>
                <w:rFonts w:ascii="Arial" w:hAnsi="Arial" w:eastAsia="Times New Roman" w:cs="Arial"/>
                <w:kern w:val="0"/>
                <w14:ligatures w14:val="none"/>
              </w:rPr>
            </w:pPr>
            <w:r>
              <w:rPr>
                <w:rFonts w:eastAsia="Times New Roman" w:cs="Arial" w:ascii="Arial" w:hAnsi="Arial"/>
                <w:kern w:val="0"/>
                <w14:ligatures w14:val="none"/>
              </w:rPr>
              <w:t>5.3.3. dėl kainų lygio pokyčio.</w:t>
            </w:r>
          </w:p>
          <w:p>
            <w:pPr>
              <w:pStyle w:val="Normal"/>
              <w:spacing w:lineRule="auto" w:line="240" w:before="0" w:after="0"/>
              <w:jc w:val="both"/>
              <w:rPr>
                <w:rFonts w:ascii="Arial" w:hAnsi="Arial" w:eastAsia="Times New Roman" w:cs="Arial"/>
                <w14:ligatures w14:val="none"/>
              </w:rPr>
            </w:pPr>
            <w:r>
              <w:rPr>
                <w:rFonts w:eastAsia="Times New Roman" w:cs="Arial" w:ascii="Arial" w:hAnsi="Arial"/>
                <w14:ligatures w14:val="none"/>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t>5.3.1. Sutarties kainos / įkainių peržiūra dėl PVM tarifo pasikeitimo</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eastAsia="Times New Roman" w:cs="Arial"/>
                <w:kern w:val="0"/>
                <w14:ligatures w14:val="none"/>
              </w:rPr>
            </w:pPr>
            <w:r>
              <w:rPr>
                <w:rFonts w:eastAsia="Times New Roman" w:cs="Arial" w:ascii="Arial" w:hAnsi="Arial"/>
                <w14:ligatures w14:val="none"/>
              </w:rPr>
              <w:t>Jeigu Sutarties vykdymo metu pasikeičia PVM mokėjimą reglamentuojantys teisės aktai, darantys tiesioginę įtaką Tiekėjo t</w:t>
            </w:r>
            <w:r>
              <w:rPr>
                <w:rFonts w:eastAsia="Times New Roman" w:cs="Arial" w:ascii="Arial" w:hAnsi="Arial"/>
                <w:kern w:val="0"/>
                <w14:ligatures w14:val="none"/>
              </w:rPr>
              <w:t>ei</w:t>
            </w:r>
            <w:r>
              <w:rPr>
                <w:rFonts w:eastAsia="Times New Roman" w:cs="Arial" w:ascii="Arial" w:hAnsi="Arial"/>
                <w14:ligatures w14:val="none"/>
              </w:rPr>
              <w:t>kiamų P</w:t>
            </w:r>
            <w:r>
              <w:rPr>
                <w:rFonts w:eastAsia="Times New Roman" w:cs="Arial" w:ascii="Arial" w:hAnsi="Arial"/>
                <w:kern w:val="0"/>
                <w14:ligatures w14:val="none"/>
              </w:rPr>
              <w:t>aslaugų</w:t>
            </w:r>
            <w:r>
              <w:rPr>
                <w:rFonts w:eastAsia="Times New Roman" w:cs="Arial" w:ascii="Arial" w:hAnsi="Arial"/>
                <w14:ligatures w14:val="none"/>
              </w:rPr>
              <w:t xml:space="preserve"> Sutartyje nurodytai kainai / įkainiams, Sutarties kaina / įkainiai perskaičiuojami nekeičiant P</w:t>
            </w:r>
            <w:r>
              <w:rPr>
                <w:rFonts w:eastAsia="Times New Roman" w:cs="Arial" w:ascii="Arial" w:hAnsi="Arial"/>
                <w:kern w:val="0"/>
                <w14:ligatures w14:val="none"/>
              </w:rPr>
              <w:t>aslaugų</w:t>
            </w:r>
            <w:r>
              <w:rPr>
                <w:rFonts w:eastAsia="Times New Roman" w:cs="Arial" w:ascii="Arial" w:hAnsi="Arial"/>
                <w14:ligatures w14:val="none"/>
              </w:rPr>
              <w:t xml:space="preserve"> kainos / įkainio be PVM.</w:t>
            </w:r>
          </w:p>
          <w:p>
            <w:pPr>
              <w:pStyle w:val="Normal"/>
              <w:spacing w:lineRule="auto" w:line="240" w:before="0" w:after="0"/>
              <w:jc w:val="both"/>
              <w:rPr>
                <w:rFonts w:ascii="Arial" w:hAnsi="Arial" w:eastAsia="Times New Roman" w:cs="Arial"/>
                <w:kern w:val="0"/>
                <w14:ligatures w14:val="none"/>
              </w:rPr>
            </w:pPr>
            <w:r>
              <w:rPr>
                <w:rFonts w:eastAsia="Times New Roman" w:cs="Arial" w:ascii="Arial" w:hAnsi="Arial"/>
                <w14:ligatures w14:val="none"/>
              </w:rPr>
              <w:t>Perskaičiuota (-i) Sutarties kaina / įkainiai įforminama (-i) susitarimu ir turi būti taikoma (-i) nuo naujo PVM įvedimo datos (nepriklausomai nuo to, kada pasirašytas susitarimas).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kern w:val="0"/>
                <w14:ligatures w14:val="none"/>
              </w:rPr>
            </w:pPr>
            <w:r>
              <w:rPr>
                <w:rFonts w:eastAsia="Times New Roman" w:cs="Arial" w:ascii="Arial" w:hAnsi="Arial"/>
                <w:b/>
                <w:bCs/>
                <w14:ligatures w14:val="none"/>
              </w:rPr>
              <w:t>5.3.2.</w:t>
            </w:r>
            <w:r>
              <w:rPr>
                <w:rFonts w:eastAsia="Times New Roman" w:cs="Arial" w:ascii="Arial" w:hAnsi="Arial"/>
                <w14:ligatures w14:val="none"/>
              </w:rPr>
              <w:t xml:space="preserve"> </w:t>
            </w:r>
            <w:r>
              <w:rPr>
                <w:rFonts w:eastAsia="Times New Roman" w:cs="Arial" w:ascii="Arial" w:hAnsi="Arial"/>
                <w:b/>
                <w:bCs/>
                <w14:ligatures w14:val="none"/>
              </w:rPr>
              <w:t>Sutarties kainos / įkainių peržiūra dėl kitų mokesčių, lemiančių Paslaugų kainos / įkainių pokytį, pasikeitimo</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kern w:val="0"/>
                <w14:ligatures w14:val="none"/>
              </w:rPr>
            </w:pPr>
            <w:r>
              <w:rPr>
                <w:rFonts w:eastAsia="Times New Roman" w:cs="Arial" w:ascii="Arial" w:hAnsi="Arial"/>
                <w:kern w:val="0"/>
                <w14:ligatures w14:val="none"/>
              </w:rPr>
              <w:t>Netaikoma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t>5.3.3. Sutarties kainos / įkainių peržiūra dėl kainų lygio pokyčio</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eastAsia="Times New Roman" w:cs="Arial"/>
                <w:kern w:val="0"/>
                <w14:ligatures w14:val="none"/>
              </w:rPr>
            </w:pPr>
            <w:r>
              <w:rPr>
                <w:rFonts w:eastAsia="Times New Roman" w:cs="Arial" w:ascii="Arial" w:hAnsi="Arial"/>
                <w:kern w:val="0"/>
                <w14:ligatures w14:val="none"/>
              </w:rPr>
              <w:t xml:space="preserve">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Specialiųjų sąlygų 5.3.3 punktą įsigaliojimo dienos), jeigu Vartojimo prekių ir paslaugų ir kainų pokytis (k), apskaičiuotas kaip nustatyta 5.3.3.6 punkte, viršija 10 procentų arba yra mažesnis nei -10 procentų (naudojamas duomenų šaltinis – </w:t>
            </w:r>
            <w:hyperlink r:id="rId3">
              <w:r>
                <w:rPr>
                  <w:rStyle w:val="Hyperlink"/>
                  <w:rFonts w:eastAsia="Times New Roman" w:cs="Arial" w:ascii="Arial" w:hAnsi="Arial"/>
                  <w:kern w:val="0"/>
                  <w14:ligatures w14:val="none"/>
                </w:rPr>
                <w:t>http://www.stat.gov.lt</w:t>
              </w:r>
            </w:hyperlink>
            <w:r>
              <w:rPr>
                <w:rFonts w:eastAsia="Times New Roman" w:cs="Arial" w:ascii="Arial" w:hAnsi="Arial"/>
                <w:kern w:val="0"/>
                <w14:ligatures w14:val="none"/>
              </w:rPr>
              <w:t>).</w:t>
            </w:r>
          </w:p>
          <w:p>
            <w:pPr>
              <w:pStyle w:val="Normal"/>
              <w:spacing w:lineRule="auto" w:line="240" w:before="0" w:after="0"/>
              <w:jc w:val="both"/>
              <w:rPr>
                <w:rFonts w:ascii="Arial" w:hAnsi="Arial" w:eastAsia="Times New Roman" w:cs="Arial"/>
                <w:shd w:fill="FFFFFF" w:val="clear"/>
                <w14:ligatures w14:val="none"/>
              </w:rPr>
            </w:pPr>
            <w:r>
              <w:rPr>
                <w:rFonts w:eastAsia="Times New Roman" w:cs="Arial" w:ascii="Arial" w:hAnsi="Arial"/>
                <w14:ligatures w14:val="none"/>
              </w:rPr>
              <w:t>5.3.3.2. Sutarties</w:t>
            </w:r>
            <w:r>
              <w:rPr>
                <w:rFonts w:eastAsia="Times New Roman" w:cs="Arial" w:ascii="Arial" w:hAnsi="Arial"/>
                <w:shd w:fill="FFFFFF" w:val="clear"/>
                <w14:ligatures w14:val="none"/>
              </w:rPr>
              <w:t xml:space="preserve"> kaina peržiūrima tik tai Sutarties daliai, kuri nėra išpirkta, t. y. Paslaugoms, kurios nėra priimtos ir apmokėtos. Vėlesnė Sutarties kainos peržiūra negali apimti laikotarpio, už kurį jau buvo atlikta peržiūra.</w:t>
            </w:r>
          </w:p>
          <w:p>
            <w:pPr>
              <w:pStyle w:val="Normal"/>
              <w:spacing w:lineRule="auto" w:line="240" w:before="0" w:after="0"/>
              <w:jc w:val="both"/>
              <w:rPr>
                <w:rFonts w:ascii="Arial" w:hAnsi="Arial" w:eastAsia="Times New Roman" w:cs="Arial"/>
                <w:shd w:fill="FFFFFF" w:val="clear"/>
                <w14:ligatures w14:val="none"/>
              </w:rPr>
            </w:pPr>
            <w:r>
              <w:rPr>
                <w:rFonts w:eastAsia="Times New Roman" w:cs="Arial" w:ascii="Arial" w:hAnsi="Arial"/>
                <w14:ligatures w14:val="none"/>
              </w:rPr>
              <w:t xml:space="preserve">5.3.3.3. </w:t>
            </w:r>
            <w:r>
              <w:rPr>
                <w:rFonts w:eastAsia="Times New Roman" w:cs="Arial" w:ascii="Arial" w:hAnsi="Arial"/>
                <w:shd w:fill="FFFFFF" w:val="clear"/>
                <w14:ligatures w14:val="none"/>
              </w:rPr>
              <w:t>Jeigu P</w:t>
            </w:r>
            <w:r>
              <w:rPr>
                <w:rFonts w:eastAsia="Times New Roman" w:cs="Arial" w:ascii="Arial" w:hAnsi="Arial"/>
                <w:kern w:val="0"/>
                <w14:ligatures w14:val="none"/>
              </w:rPr>
              <w:t>aslaugų teikimas</w:t>
            </w:r>
            <w:r>
              <w:rPr>
                <w:rFonts w:eastAsia="Times New Roman" w:cs="Arial" w:ascii="Arial" w:hAnsi="Arial"/>
                <w:shd w:fill="FFFFFF" w:val="clear"/>
                <w14:ligatures w14:val="none"/>
              </w:rPr>
              <w:t xml:space="preserve"> vėluoja dėl Tiekėjo kaltės, uždelstų suteikti P</w:t>
            </w:r>
            <w:r>
              <w:rPr>
                <w:rFonts w:eastAsia="Times New Roman" w:cs="Arial" w:ascii="Arial" w:hAnsi="Arial"/>
                <w:kern w:val="0"/>
                <w14:ligatures w14:val="none"/>
              </w:rPr>
              <w:t>aslaugų</w:t>
            </w:r>
            <w:r>
              <w:rPr>
                <w:rFonts w:eastAsia="Times New Roman" w:cs="Arial" w:ascii="Arial" w:hAnsi="Arial"/>
                <w:shd w:fill="FFFFFF" w:val="clear"/>
                <w14:ligatures w14:val="none"/>
              </w:rPr>
              <w:t xml:space="preserve"> kaina nėra perskaičiuojama dėl kainų lygio kilimo (gali būti mažinami, tačiau negali būti didinami).</w:t>
            </w:r>
          </w:p>
          <w:p>
            <w:pPr>
              <w:pStyle w:val="Normal"/>
              <w:spacing w:lineRule="auto" w:line="240" w:before="0" w:after="0"/>
              <w:jc w:val="both"/>
              <w:rPr>
                <w:rFonts w:ascii="Arial" w:hAnsi="Arial" w:eastAsia="Times New Roman" w:cs="Arial"/>
                <w:shd w:fill="FFFFFF" w:val="clear"/>
                <w14:ligatures w14:val="none"/>
              </w:rPr>
            </w:pPr>
            <w:r>
              <w:rPr>
                <w:rFonts w:eastAsia="Times New Roman" w:cs="Arial" w:ascii="Arial" w:hAnsi="Arial"/>
                <w14:ligatures w14:val="none"/>
              </w:rPr>
              <w:t xml:space="preserve">5.3.3.4. Atlikdamos Sutarties kainos peržiūrą, </w:t>
            </w:r>
            <w:r>
              <w:rPr>
                <w:rFonts w:eastAsia="Times New Roman" w:cs="Arial" w:ascii="Arial" w:hAnsi="Arial"/>
                <w:shd w:fill="FFFFFF" w:val="clear"/>
                <w14:ligatures w14:val="none"/>
              </w:rPr>
              <w:t>Šalys vadovaujasi Valstybės duomenų agentūros viešai Oficialiosios statistikos portale paskelbtais Rodiklių duomenų bazės duomenimis (</w:t>
            </w:r>
            <w:hyperlink r:id="rId4">
              <w:r>
                <w:rPr>
                  <w:rStyle w:val="ListLabel3"/>
                  <w:rFonts w:eastAsia="Times New Roman" w:cs="Arial" w:ascii="Arial" w:hAnsi="Arial"/>
                  <w:color w:val="4472C4"/>
                  <w:u w:val="single"/>
                  <w14:ligatures w14:val="none"/>
                </w:rPr>
                <w:t>https://osp.stat.gov.lt/</w:t>
              </w:r>
            </w:hyperlink>
            <w:r>
              <w:rPr>
                <w:rFonts w:eastAsia="Times New Roman" w:cs="Arial" w:ascii="Arial" w:hAnsi="Arial"/>
                <w:kern w:val="0"/>
                <w14:ligatures w14:val="none"/>
              </w:rPr>
              <w:t>)</w:t>
            </w:r>
            <w:r>
              <w:rPr>
                <w:rFonts w:eastAsia="Times New Roman" w:cs="Arial" w:ascii="Arial" w:hAnsi="Arial"/>
                <w:shd w:fill="FFFFFF" w:val="clear"/>
                <w14:ligatures w14:val="none"/>
              </w:rPr>
              <w:t>. Iš kitos Šalies nereikalaujama pateikti oficialaus Valstybės duomenų agentūros ar kitos institucijos išduoto dokumento ar patvirtinimo.</w:t>
            </w:r>
          </w:p>
          <w:p>
            <w:pPr>
              <w:pStyle w:val="Normal"/>
              <w:spacing w:lineRule="auto" w:line="240" w:before="0" w:after="0"/>
              <w:jc w:val="both"/>
              <w:rPr>
                <w:rFonts w:ascii="Arial" w:hAnsi="Arial" w:eastAsia="Times New Roman" w:cs="Arial"/>
                <w:shd w:fill="FFFFFF" w:val="clear"/>
                <w14:ligatures w14:val="none"/>
              </w:rPr>
            </w:pPr>
            <w:r>
              <w:rPr>
                <w:rFonts w:eastAsia="Times New Roman" w:cs="Arial" w:ascii="Arial" w:hAnsi="Arial"/>
                <w:shd w:fill="FFFFFF" w:val="clear"/>
                <w14:ligatures w14:val="none"/>
              </w:rPr>
              <w:t>5.3.3.5. Šalys privalo Susitarime nurodyti „00 Vartojimo prekių ir paslaugų“ indekso reikšmę laikotarpio pradžioje ir jo nustatymo datą, indekso reikšmę laikotarpio pabaigoje ir jo nustatymo datą, kainų pokytį (k), perskaičiuotą Sutarties kainą, perskaičiuotą Pradinės Sutarties vertę.</w:t>
            </w:r>
          </w:p>
          <w:p>
            <w:pPr>
              <w:pStyle w:val="Normal"/>
              <w:spacing w:lineRule="auto" w:line="240" w:before="0" w:after="0"/>
              <w:jc w:val="both"/>
              <w:rPr>
                <w:rFonts w:ascii="Arial" w:hAnsi="Arial" w:eastAsia="Times New Roman" w:cs="Arial"/>
                <w:kern w:val="0"/>
                <w14:ligatures w14:val="none"/>
              </w:rPr>
            </w:pPr>
            <w:r>
              <w:rPr>
                <w:rFonts w:eastAsia="Times New Roman" w:cs="Arial" w:ascii="Arial" w:hAnsi="Arial"/>
                <w:shd w:fill="FFFFFF" w:val="clear"/>
                <w14:ligatures w14:val="none"/>
              </w:rPr>
              <w:t>5.3.3.6. Nauja Sutarties kaina apskaičiuojama pagal žemiau pateiktą formulę:</w:t>
            </w:r>
          </w:p>
          <w:p>
            <w:pPr>
              <w:pStyle w:val="Normal"/>
              <w:spacing w:lineRule="auto" w:line="240" w:before="0" w:after="0"/>
              <w:jc w:val="both"/>
              <w:rPr>
                <w:rFonts w:ascii="Arial" w:hAnsi="Arial" w:eastAsia="Times New Roman" w:cs="Arial"/>
                <w:kern w:val="0"/>
                <w14:ligatures w14:val="none"/>
              </w:rPr>
            </w:pPr>
            <w:r>
              <w:rPr>
                <w:rFonts w:eastAsia="Times New Roman" w:cs="Arial" w:ascii="Arial" w:hAnsi="Arial"/>
                <w:kern w:val="0"/>
                <w14:ligatures w14:val="none"/>
              </w:rPr>
            </w:r>
          </w:p>
          <w:p>
            <w:pPr>
              <w:pStyle w:val="Normal"/>
              <w:spacing w:lineRule="auto" w:line="240" w:before="0" w:after="0"/>
              <w:jc w:val="both"/>
              <w:textAlignment w:val="baseline"/>
              <w:rPr>
                <w:rFonts w:ascii="Arial" w:hAnsi="Arial" w:eastAsia="Times New Roman" w:cs="Arial"/>
                <w14:ligatures w14:val="none"/>
              </w:rPr>
            </w:pPr>
            <w:r>
              <w:rPr/>
            </w:r>
            <m:oMath xmlns:m="http://schemas.openxmlformats.org/officeDocument/2006/math">
              <m:sSub>
                <m:e>
                  <m:r>
                    <w:rPr>
                      <w:rFonts w:ascii="Cambria Math" w:hAnsi="Cambria Math"/>
                    </w:rPr>
                    <m:t xml:space="preserve">a</m:t>
                  </m:r>
                </m:e>
                <m:sub>
                  <m:r>
                    <w:rPr>
                      <w:rFonts w:ascii="Cambria Math" w:hAnsi="Cambria Math"/>
                    </w:rPr>
                    <m:t xml:space="preserve">1</m:t>
                  </m:r>
                </m:sub>
              </m:sSub>
              <m:r>
                <w:rPr>
                  <w:rFonts w:ascii="Cambria Math" w:hAnsi="Cambria Math"/>
                </w:rPr>
                <m:t xml:space="preserve">=</m:t>
              </m:r>
              <m:r>
                <w:rPr>
                  <w:rFonts w:ascii="Cambria Math" w:hAnsi="Cambria Math"/>
                </w:rPr>
                <m:t xml:space="preserve">a</m:t>
              </m:r>
              <m:r>
                <w:rPr>
                  <w:rFonts w:ascii="Cambria Math" w:hAnsi="Cambria Math"/>
                </w:rPr>
                <m:t xml:space="preserve">+</m:t>
              </m:r>
              <m:d>
                <m:dPr>
                  <m:begChr m:val="("/>
                  <m:endChr m:val=")"/>
                </m:dPr>
                <m:e>
                  <m:f>
                    <m:num>
                      <m:r>
                        <w:rPr>
                          <w:rFonts w:ascii="Cambria Math" w:hAnsi="Cambria Math"/>
                        </w:rPr>
                        <m:t xml:space="preserve">k</m:t>
                      </m:r>
                    </m:num>
                    <m:den>
                      <m:r>
                        <w:rPr>
                          <w:rFonts w:ascii="Cambria Math" w:hAnsi="Cambria Math"/>
                        </w:rPr>
                        <m:t xml:space="preserve">100</m:t>
                      </m:r>
                    </m:den>
                  </m:f>
                  <m:r>
                    <w:rPr>
                      <w:rFonts w:ascii="Cambria Math" w:hAnsi="Cambria Math"/>
                    </w:rPr>
                    <m:t xml:space="preserve">×</m:t>
                  </m:r>
                  <m:r>
                    <w:rPr>
                      <w:rFonts w:ascii="Cambria Math" w:hAnsi="Cambria Math"/>
                    </w:rPr>
                    <m:t xml:space="preserve">a</m:t>
                  </m:r>
                </m:e>
              </m:d>
            </m:oMath>
            <w:r>
              <w:rPr>
                <w:rFonts w:eastAsia="Times New Roman" w:cs="Arial" w:ascii="Arial" w:hAnsi="Arial"/>
                <w14:ligatures w14:val="none"/>
              </w:rPr>
              <w:t>, kur a –kaina (Eur be PVM) (jei peržiūra jau buvo atlikta, tai po paskutinio perskaičiavimo)</w:t>
            </w:r>
          </w:p>
          <w:p>
            <w:pPr>
              <w:pStyle w:val="Normal"/>
              <w:spacing w:lineRule="auto" w:line="240" w:before="0" w:after="0"/>
              <w:jc w:val="both"/>
              <w:textAlignment w:val="baseline"/>
              <w:rPr>
                <w:rFonts w:ascii="Arial" w:hAnsi="Arial" w:eastAsia="Times New Roman" w:cs="Arial"/>
                <w:kern w:val="0"/>
                <w14:ligatures w14:val="none"/>
              </w:rPr>
            </w:pPr>
            <w:r>
              <w:rPr>
                <w:rFonts w:eastAsia="Times New Roman" w:cs="Arial" w:ascii="Arial" w:hAnsi="Arial"/>
                <w14:ligatures w14:val="none"/>
              </w:rPr>
              <w:t>a</w:t>
            </w:r>
            <w:r>
              <w:rPr>
                <w:rFonts w:eastAsia="Times New Roman" w:cs="Arial" w:ascii="Arial" w:hAnsi="Arial"/>
                <w:vertAlign w:val="subscript"/>
                <w14:ligatures w14:val="none"/>
              </w:rPr>
              <w:t>1</w:t>
            </w:r>
            <w:r>
              <w:rPr>
                <w:rFonts w:eastAsia="Times New Roman" w:cs="Arial" w:ascii="Arial" w:hAnsi="Arial"/>
                <w14:ligatures w14:val="none"/>
              </w:rPr>
              <w:t xml:space="preserve"> – perskaičiuota (pakeista) kaina (Eur be PVM)</w:t>
            </w:r>
          </w:p>
          <w:p>
            <w:pPr>
              <w:pStyle w:val="Normal"/>
              <w:spacing w:lineRule="auto" w:line="240" w:before="0" w:after="0"/>
              <w:jc w:val="both"/>
              <w:textAlignment w:val="baseline"/>
              <w:rPr>
                <w:rFonts w:ascii="Arial" w:hAnsi="Arial" w:eastAsia="Times New Roman" w:cs="Arial"/>
                <w:kern w:val="0"/>
                <w14:ligatures w14:val="none"/>
              </w:rPr>
            </w:pPr>
            <w:r>
              <w:rPr>
                <w:rFonts w:eastAsia="Times New Roman" w:cs="Arial" w:ascii="Arial" w:hAnsi="Arial"/>
                <w14:ligatures w14:val="none"/>
              </w:rPr>
              <w:t>k – pagal vartotojų kainų indeksą apskaičiuotas „00 Vartojimo prekių ir paslaugų“ kainų pokytis (padidėjimas arba sumažėjimas) (%). „k“ reikšmė skaičiuojama pagal formulę:</w:t>
            </w:r>
          </w:p>
          <w:p>
            <w:pPr>
              <w:pStyle w:val="Normal"/>
              <w:spacing w:lineRule="auto" w:line="240" w:before="0" w:after="0"/>
              <w:jc w:val="both"/>
              <w:textAlignment w:val="baseline"/>
              <w:rPr>
                <w:rFonts w:ascii="Arial" w:hAnsi="Arial" w:eastAsia="Times New Roman" w:cs="Arial"/>
                <w14:ligatures w14:val="none"/>
              </w:rPr>
            </w:pPr>
            <w:r>
              <w:rPr/>
            </w:r>
            <m:oMath xmlns:m="http://schemas.openxmlformats.org/officeDocument/2006/math">
              <m:r>
                <w:rPr>
                  <w:rFonts w:ascii="Cambria Math" w:hAnsi="Cambria Math"/>
                </w:rPr>
                <m:t xml:space="preserve">k</m:t>
              </m:r>
              <m:r>
                <w:rPr>
                  <w:rFonts w:ascii="Cambria Math" w:hAnsi="Cambria Math"/>
                </w:rPr>
                <m:t xml:space="preserve">=</m:t>
              </m:r>
              <m:f>
                <m:num>
                  <m:sSub>
                    <m:e>
                      <m:r>
                        <w:rPr>
                          <w:rFonts w:ascii="Cambria Math" w:hAnsi="Cambria Math"/>
                        </w:rPr>
                        <m:t xml:space="preserve">Ind</m:t>
                      </m:r>
                    </m:e>
                    <m:sub>
                      <m:r>
                        <w:rPr>
                          <w:rFonts w:ascii="Cambria Math" w:hAnsi="Cambria Math"/>
                        </w:rPr>
                        <m:t xml:space="preserve">naujausias</m:t>
                      </m:r>
                    </m:sub>
                  </m:sSub>
                </m:num>
                <m:den>
                  <m:sSub>
                    <m:e>
                      <m:r>
                        <w:rPr>
                          <w:rFonts w:ascii="Cambria Math" w:hAnsi="Cambria Math"/>
                        </w:rPr>
                        <m:t xml:space="preserve">Ind</m:t>
                      </m:r>
                    </m:e>
                    <m:sub>
                      <m:r>
                        <w:rPr>
                          <w:rFonts w:ascii="Cambria Math" w:hAnsi="Cambria Math"/>
                        </w:rPr>
                        <m:t xml:space="preserve">prad</m:t>
                      </m:r>
                      <m:r>
                        <w:rPr>
                          <w:rFonts w:ascii="Cambria Math" w:hAnsi="Cambria Math"/>
                        </w:rPr>
                        <m:t xml:space="preserve">ž</m:t>
                      </m:r>
                      <m:r>
                        <w:rPr>
                          <w:rFonts w:ascii="Cambria Math" w:hAnsi="Cambria Math"/>
                        </w:rPr>
                        <m:t xml:space="preserve">ia</m:t>
                      </m:r>
                    </m:sub>
                  </m:sSub>
                </m:den>
              </m:f>
              <m:r>
                <w:rPr>
                  <w:rFonts w:ascii="Cambria Math" w:hAnsi="Cambria Math"/>
                </w:rPr>
                <m:t xml:space="preserve">×</m:t>
              </m:r>
              <m:r>
                <w:rPr>
                  <w:rFonts w:ascii="Cambria Math" w:hAnsi="Cambria Math"/>
                </w:rPr>
                <m:t xml:space="preserve">100</m:t>
              </m:r>
              <m:r>
                <w:rPr>
                  <w:rFonts w:ascii="Cambria Math" w:hAnsi="Cambria Math"/>
                </w:rPr>
                <m:t xml:space="preserve">−</m:t>
              </m:r>
              <m:r>
                <w:rPr>
                  <w:rFonts w:ascii="Cambria Math" w:hAnsi="Cambria Math"/>
                </w:rPr>
                <m:t xml:space="preserve">100</m:t>
              </m:r>
            </m:oMath>
            <w:r>
              <w:rPr>
                <w:rFonts w:eastAsia="Times New Roman" w:cs="Arial" w:ascii="Arial" w:hAnsi="Arial"/>
                <w14:ligatures w14:val="none"/>
              </w:rPr>
              <w:t>, (proc.) kur</w:t>
            </w:r>
          </w:p>
          <w:p>
            <w:pPr>
              <w:pStyle w:val="Normal"/>
              <w:spacing w:lineRule="auto" w:line="240" w:before="0" w:after="0"/>
              <w:jc w:val="both"/>
              <w:textAlignment w:val="baseline"/>
              <w:rPr>
                <w:rFonts w:ascii="Arial" w:hAnsi="Arial" w:eastAsia="Times New Roman" w:cs="Arial"/>
                <w:kern w:val="0"/>
                <w14:ligatures w14:val="none"/>
              </w:rPr>
            </w:pPr>
            <w:r>
              <w:rPr>
                <w:rFonts w:eastAsia="Times New Roman" w:cs="Arial" w:ascii="Arial" w:hAnsi="Arial"/>
                <w14:ligatures w14:val="none"/>
              </w:rPr>
              <w:t>Ind</w:t>
            </w:r>
            <w:r>
              <w:rPr>
                <w:rFonts w:eastAsia="Times New Roman" w:cs="Arial" w:ascii="Arial" w:hAnsi="Arial"/>
                <w:vertAlign w:val="subscript"/>
                <w14:ligatures w14:val="none"/>
              </w:rPr>
              <w:t>naujausias</w:t>
            </w:r>
            <w:r>
              <w:rPr>
                <w:rFonts w:eastAsia="Times New Roman" w:cs="Arial" w:ascii="Arial" w:hAnsi="Arial"/>
                <w14:ligatures w14:val="none"/>
              </w:rPr>
              <w:t xml:space="preserve"> – kreipimosi dėl kainos peržiūros išsiuntimo kitai Šaliai dieną paskelbtas naujausias „00 Vartojimo prekių ir paslaugų“ indeksas.</w:t>
            </w:r>
          </w:p>
          <w:p>
            <w:pPr>
              <w:pStyle w:val="Normal"/>
              <w:spacing w:lineRule="auto" w:line="240" w:before="0" w:after="0"/>
              <w:jc w:val="both"/>
              <w:rPr>
                <w:rFonts w:ascii="Arial" w:hAnsi="Arial" w:eastAsia="Times New Roman" w:cs="Arial"/>
                <w:kern w:val="0"/>
                <w14:ligatures w14:val="none"/>
              </w:rPr>
            </w:pPr>
            <w:r>
              <w:rPr>
                <w:rFonts w:eastAsia="Times New Roman" w:cs="Arial" w:ascii="Arial" w:hAnsi="Arial"/>
                <w14:ligatures w14:val="none"/>
              </w:rPr>
              <w:t>Ind</w:t>
            </w:r>
            <w:r>
              <w:rPr>
                <w:rFonts w:eastAsia="Times New Roman" w:cs="Arial" w:ascii="Arial" w:hAnsi="Arial"/>
                <w:vertAlign w:val="subscript"/>
                <w14:ligatures w14:val="none"/>
              </w:rPr>
              <w:t>pradžia</w:t>
            </w:r>
            <w:r>
              <w:rPr>
                <w:rFonts w:eastAsia="Times New Roman" w:cs="Arial" w:ascii="Arial" w:hAnsi="Arial"/>
                <w14:ligatures w14:val="none"/>
              </w:rPr>
              <w:t xml:space="preserve"> – laikotarpio pradžios datos (mėnesio) „00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pPr>
              <w:pStyle w:val="Normal"/>
              <w:spacing w:lineRule="auto" w:line="240" w:before="0" w:after="0"/>
              <w:jc w:val="both"/>
              <w:rPr>
                <w:rFonts w:ascii="Arial" w:hAnsi="Arial" w:eastAsia="Times New Roman" w:cs="Arial"/>
                <w:shd w:fill="FFFFFF" w:val="clear"/>
                <w14:ligatures w14:val="none"/>
              </w:rPr>
            </w:pPr>
            <w:r>
              <w:rPr>
                <w:rFonts w:eastAsia="Times New Roman" w:cs="Arial" w:ascii="Arial" w:hAnsi="Arial"/>
                <w14:ligatures w14:val="none"/>
              </w:rPr>
              <w:t xml:space="preserve">5.3.3.7. </w:t>
            </w:r>
            <w:r>
              <w:rPr>
                <w:rFonts w:eastAsia="Times New Roman" w:cs="Arial" w:ascii="Arial" w:hAnsi="Arial"/>
                <w:shd w:fill="FFFFFF" w:val="clear"/>
                <w14:ligatures w14:val="none"/>
              </w:rPr>
              <w:t xml:space="preserve">Skaičiavimams indeksų reikšmės imamos </w:t>
            </w:r>
            <w:r>
              <w:rPr>
                <w:rFonts w:eastAsia="Times New Roman" w:cs="Arial" w:ascii="Arial" w:hAnsi="Arial"/>
                <w:b/>
                <w:shd w:fill="FFFFFF" w:val="clear"/>
                <w14:ligatures w14:val="none"/>
              </w:rPr>
              <w:t>keturių</w:t>
            </w:r>
            <w:r>
              <w:rPr>
                <w:rFonts w:eastAsia="Times New Roman" w:cs="Arial" w:ascii="Arial" w:hAnsi="Arial"/>
                <w:shd w:fill="FFFFFF" w:val="clear"/>
                <w14:ligatures w14:val="none"/>
              </w:rPr>
              <w:t xml:space="preserve"> skaitmenų po kablelio tikslumu. Apskaičiuotas pokytis (k) tolimesniems skaičiavimams naudojamas suapvalinus iki </w:t>
            </w:r>
            <w:r>
              <w:rPr>
                <w:rFonts w:eastAsia="Times New Roman" w:cs="Arial" w:ascii="Arial" w:hAnsi="Arial"/>
                <w:b/>
                <w:shd w:fill="FFFFFF" w:val="clear"/>
                <w14:ligatures w14:val="none"/>
              </w:rPr>
              <w:t>vieno</w:t>
            </w:r>
            <w:r>
              <w:rPr>
                <w:rFonts w:eastAsia="Times New Roman" w:cs="Arial" w:ascii="Arial" w:hAnsi="Arial"/>
                <w:shd w:fill="FFFFFF" w:val="clear"/>
                <w14:ligatures w14:val="none"/>
              </w:rPr>
              <w:t xml:space="preserve"> skaitmens po kablelio, o apskaičiuota kaina „a</w:t>
            </w:r>
            <w:r>
              <w:rPr>
                <w:rFonts w:eastAsia="Times New Roman" w:cs="Arial" w:ascii="Arial" w:hAnsi="Arial"/>
                <w:shd w:fill="FFFFFF" w:val="clear"/>
                <w:vertAlign w:val="subscript"/>
                <w14:ligatures w14:val="none"/>
              </w:rPr>
              <w:t>1</w:t>
            </w:r>
            <w:r>
              <w:rPr>
                <w:rFonts w:eastAsia="Times New Roman" w:cs="Arial" w:ascii="Arial" w:hAnsi="Arial"/>
                <w:shd w:fill="FFFFFF" w:val="clear"/>
                <w14:ligatures w14:val="none"/>
              </w:rPr>
              <w:t xml:space="preserve">“ suapvalinama iki </w:t>
            </w:r>
            <w:r>
              <w:rPr>
                <w:rFonts w:eastAsia="Times New Roman" w:cs="Arial" w:ascii="Arial" w:hAnsi="Arial"/>
                <w:b/>
                <w:shd w:fill="FFFFFF" w:val="clear"/>
                <w14:ligatures w14:val="none"/>
              </w:rPr>
              <w:t xml:space="preserve">dviejų </w:t>
            </w:r>
            <w:r>
              <w:rPr>
                <w:rFonts w:eastAsia="Times New Roman" w:cs="Arial" w:ascii="Arial" w:hAnsi="Arial"/>
                <w:shd w:fill="FFFFFF" w:val="clear"/>
                <w14:ligatures w14:val="none"/>
              </w:rPr>
              <w:t>skaitmenų po kablelio.</w:t>
            </w:r>
          </w:p>
          <w:p>
            <w:pPr>
              <w:pStyle w:val="Normal"/>
              <w:spacing w:lineRule="auto" w:line="240" w:before="0" w:after="0"/>
              <w:jc w:val="both"/>
              <w:rPr>
                <w:rFonts w:ascii="Arial" w:hAnsi="Arial" w:eastAsia="Times New Roman" w:cs="Arial"/>
                <w:shd w:fill="FFFFFF" w:val="clear"/>
                <w14:ligatures w14:val="none"/>
              </w:rPr>
            </w:pPr>
            <w:r>
              <w:rPr>
                <w:rFonts w:eastAsia="Times New Roman" w:cs="Arial" w:ascii="Arial" w:hAnsi="Arial"/>
                <w:shd w:fill="FFFFFF" w:val="clear"/>
                <w14:ligatures w14:val="none"/>
              </w:rPr>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pPr>
              <w:pStyle w:val="Normal"/>
              <w:spacing w:lineRule="auto" w:line="240" w:before="0" w:after="0"/>
              <w:jc w:val="both"/>
              <w:rPr>
                <w:rFonts w:ascii="Arial" w:hAnsi="Arial" w:eastAsia="Times New Roman" w:cs="Arial"/>
                <w:shd w:fill="FFFFFF" w:val="clear"/>
                <w14:ligatures w14:val="none"/>
              </w:rPr>
            </w:pPr>
            <w:r>
              <w:rPr>
                <w:rFonts w:eastAsia="Times New Roman" w:cs="Arial" w:ascii="Arial" w:hAnsi="Arial"/>
                <w:shd w:fill="FFFFFF" w:val="clear"/>
                <w14:ligatures w14:val="none"/>
              </w:rPr>
              <w:t>5</w:t>
            </w:r>
            <w:r>
              <w:rPr>
                <w:rFonts w:eastAsia="Times New Roman" w:cs="Arial" w:ascii="Arial" w:hAnsi="Arial"/>
                <w14:ligatures w14:val="none"/>
              </w:rPr>
              <w:t xml:space="preserve">.3.3.9. </w:t>
            </w:r>
            <w:r>
              <w:rPr>
                <w:rFonts w:eastAsia="Times New Roman" w:cs="Arial" w:ascii="Arial" w:hAnsi="Arial"/>
                <w:shd w:fill="FFFFFF" w:val="clear"/>
                <w14:ligatures w14:val="none"/>
              </w:rPr>
              <w:t>Susitarimas turi būti sudarytas per 14 (keturiolika) kalendorinių dienų nuo Šalies pateikto tinkamo prašymo perskaičiuoti S</w:t>
            </w:r>
            <w:r>
              <w:rPr>
                <w:rFonts w:eastAsia="Times New Roman" w:cs="Arial" w:ascii="Arial" w:hAnsi="Arial"/>
                <w14:ligatures w14:val="none"/>
              </w:rPr>
              <w:t>utarties</w:t>
            </w:r>
            <w:r>
              <w:rPr>
                <w:rFonts w:eastAsia="Times New Roman" w:cs="Arial" w:ascii="Arial" w:hAnsi="Arial"/>
                <w:shd w:fill="FFFFFF" w:val="clear"/>
                <w14:ligatures w14:val="none"/>
              </w:rPr>
              <w:t xml:space="preserve"> kainą gavimo dienos.</w:t>
            </w:r>
          </w:p>
          <w:p>
            <w:pPr>
              <w:pStyle w:val="Normal"/>
              <w:spacing w:lineRule="auto" w:line="240" w:before="0" w:after="0"/>
              <w:jc w:val="both"/>
              <w:rPr>
                <w:rFonts w:ascii="Arial" w:hAnsi="Arial" w:eastAsia="Times New Roman" w:cs="Arial"/>
                <w14:ligatures w14:val="none"/>
              </w:rPr>
            </w:pPr>
            <w:r>
              <w:rPr>
                <w:rFonts w:eastAsia="Times New Roman" w:cs="Arial" w:ascii="Arial" w:hAnsi="Arial"/>
                <w:shd w:fill="FFFFFF" w:val="clear"/>
                <w14:ligatures w14:val="none"/>
              </w:rPr>
              <w:t xml:space="preserve">5.3.3.10. </w:t>
            </w:r>
            <w:r>
              <w:rPr>
                <w:rFonts w:eastAsia="Times New Roman" w:cs="Arial" w:ascii="Arial" w:hAnsi="Arial"/>
                <w14:ligatures w14:val="none"/>
              </w:rPr>
              <w:t>Susitarimu Šalys neturi teisės keisti procedūroje nurodytos tvarkos ar kitų Sutarties nuostatų, išskyrus, jei keitimas atliekamas pagal VPĮ nuostatas.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t xml:space="preserve">5.3.4. Sutarties kainos / įkainių peržiūra dėl kainų lygio pokyčio pagal </w:t>
            </w:r>
            <w:r>
              <w:rPr>
                <w:rFonts w:eastAsia="Times New Roman" w:cs="Arial" w:ascii="Arial" w:hAnsi="Arial"/>
                <w:b/>
                <w:bCs/>
                <w14:ligatures w14:val="none"/>
              </w:rPr>
              <w:t>Paslaugų</w:t>
            </w:r>
            <w:r>
              <w:rPr>
                <w:rFonts w:eastAsia="Times New Roman" w:cs="Arial" w:ascii="Arial" w:hAnsi="Arial"/>
                <w:b/>
                <w14:ligatures w14:val="none"/>
              </w:rPr>
              <w:t xml:space="preserve"> grupių kainų pokyčius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14:ligatures w14:val="none"/>
              </w:rPr>
            </w:pPr>
            <w:r>
              <w:rPr>
                <w:rFonts w:eastAsia="Times New Roman" w:cs="Arial" w:ascii="Arial" w:hAnsi="Arial"/>
                <w14:ligatures w14:val="none"/>
              </w:rPr>
              <w:t>Netaikoma</w:t>
            </w:r>
          </w:p>
          <w:p>
            <w:pPr>
              <w:pStyle w:val="Normal"/>
              <w:spacing w:lineRule="auto" w:line="240" w:before="0" w:after="0"/>
              <w:rPr>
                <w:rFonts w:ascii="Arial" w:hAnsi="Arial" w:eastAsia="Times New Roman" w:cs="Arial"/>
                <w:kern w:val="0"/>
                <w14:ligatures w14:val="none"/>
              </w:rPr>
            </w:pPr>
            <w:r>
              <w:rPr>
                <w:rFonts w:eastAsia="Times New Roman" w:cs="Arial" w:ascii="Arial" w:hAnsi="Arial"/>
                <w:kern w:val="0"/>
                <w14:ligatures w14:val="none"/>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bCs/>
                <w14:ligatures w14:val="none"/>
              </w:rPr>
            </w:pPr>
            <w:r>
              <w:rPr>
                <w:rFonts w:eastAsia="Times New Roman" w:cs="Arial" w:ascii="Arial" w:hAnsi="Arial"/>
                <w:b/>
                <w:bCs/>
                <w14:ligatures w14:val="none"/>
              </w:rPr>
              <w:t xml:space="preserve">5.4. Sutarties kainos / įkainių apskaičiavimas taikant </w:t>
            </w:r>
            <w:r>
              <w:rPr>
                <w:rFonts w:eastAsia="Times New Roman" w:cs="Arial" w:ascii="Arial" w:hAnsi="Arial"/>
                <w:b/>
                <w:bCs/>
                <w:u w:val="single"/>
                <w14:ligatures w14:val="none"/>
              </w:rPr>
              <w:t>kiekio (apimties)</w:t>
            </w:r>
            <w:r>
              <w:rPr>
                <w:rFonts w:eastAsia="Times New Roman" w:cs="Arial" w:ascii="Arial" w:hAnsi="Arial"/>
                <w:b/>
                <w:bCs/>
                <w14:ligatures w14:val="none"/>
              </w:rPr>
              <w:t xml:space="preserve"> keitimo taisykles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14:ligatures w14:val="none"/>
              </w:rPr>
            </w:pPr>
            <w:r>
              <w:rPr>
                <w:rFonts w:eastAsia="Times New Roman" w:cs="Arial" w:ascii="Arial" w:hAnsi="Arial"/>
                <w14:ligatures w14:val="none"/>
              </w:rPr>
              <w:t>Sutarties kainos apskaičiavimo tvarka dėl draudimo objektų kiekio pokyčių nurodyta Techninės specifikacijos 2.6.18 punkte.</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t>5.5. Atsiskaitymo su Tiekėju terminas ir tvarka</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eastAsia="Times New Roman" w:cs="Arial"/>
                <w14:ligatures w14:val="none"/>
              </w:rPr>
            </w:pPr>
            <w:r>
              <w:rPr>
                <w:rFonts w:eastAsia="Times New Roman" w:cs="Arial" w:ascii="Arial" w:hAnsi="Arial"/>
                <w14:ligatures w14:val="none"/>
              </w:rPr>
              <w:t>Pirkėjas atsiskaito su Tiekėju ne vėliau kaip per 30 (trisdešimt) kalendorinių dienų nuo Sąskaitos gavimo dienos.</w:t>
            </w:r>
          </w:p>
          <w:p>
            <w:pPr>
              <w:pStyle w:val="Normal"/>
              <w:spacing w:lineRule="auto" w:line="240" w:before="0" w:after="0"/>
              <w:jc w:val="both"/>
              <w:rPr>
                <w:rFonts w:ascii="Arial" w:hAnsi="Arial" w:eastAsia="Times New Roman" w:cs="Arial"/>
                <w14:ligatures w14:val="none"/>
              </w:rPr>
            </w:pPr>
            <w:r>
              <w:rPr>
                <w:rFonts w:eastAsia="Times New Roman" w:cs="Arial" w:ascii="Arial" w:hAnsi="Arial"/>
                <w14:ligatures w14:val="none"/>
              </w:rPr>
              <w:t>Perskaičiuota papildoma draudimo įmokos dalis (pagal Techninės specifikacijos 2.6.18. punktą) Tiekėjui sumokama per 30 (trisdešimt) kalendorinių dienų nuo Sąskaitos gavimo dienos.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t>5.6. Avansas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14:ligatures w14:val="none"/>
              </w:rPr>
            </w:pPr>
            <w:r>
              <w:rPr>
                <w:rFonts w:eastAsia="Times New Roman" w:cs="Arial" w:ascii="Arial" w:hAnsi="Arial"/>
                <w14:ligatures w14:val="none"/>
              </w:rPr>
              <w:t>Netaikoma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t>5.7. Avanso užtikrinimas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14:ligatures w14:val="none"/>
              </w:rPr>
            </w:pPr>
            <w:r>
              <w:rPr>
                <w:rFonts w:eastAsia="Times New Roman" w:cs="Arial" w:ascii="Arial" w:hAnsi="Arial"/>
                <w14:ligatures w14:val="none"/>
              </w:rPr>
              <w:t>Netaikoma</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b/>
                <w14:ligatures w14:val="none"/>
              </w:rPr>
            </w:pPr>
            <w:r>
              <w:rPr>
                <w:rFonts w:eastAsia="Times New Roman" w:cs="Arial" w:ascii="Arial" w:hAnsi="Arial"/>
                <w:b/>
                <w14:ligatures w14:val="none"/>
              </w:rPr>
              <w:t>6. PASLAUGŲ KOKYBĖ IR GARANTINIAI ĮSIPAREIGOJIMAI</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t>6.1. Garantinis terminas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14:ligatures w14:val="none"/>
              </w:rPr>
            </w:pPr>
            <w:r>
              <w:rPr>
                <w:rFonts w:eastAsia="Times New Roman" w:cs="Arial" w:ascii="Arial" w:hAnsi="Arial"/>
                <w14:ligatures w14:val="none"/>
              </w:rPr>
              <w:t>Netaikoma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kern w:val="0"/>
                <w14:ligatures w14:val="none"/>
              </w:rPr>
              <w:t>6.2. Terminas Paslaugų trūkumams pašalinti</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eastAsia="Times New Roman" w:cs="Arial"/>
                <w14:ligatures w14:val="none"/>
              </w:rPr>
            </w:pPr>
            <w:r>
              <w:rPr>
                <w:rFonts w:eastAsia="Times New Roman" w:cs="Arial" w:ascii="Arial" w:hAnsi="Arial"/>
                <w14:ligatures w14:val="none"/>
              </w:rPr>
              <w:t>Paslaugos turi būti suteiktos tinkamai, kokybiškai pagal Sutartyje ir jos prieduose nustatytus reikalavimus. Nustačius, kad Paslaugos yra suteiktos nekokybiškai, neatitinka Sutarties reikalavimų, Teikėjas privalo ištaisyti Paslaugų trūkumus per 5 (penkias) darbo dienas nuo Pirkėjo rašytinės pretenzijos gavimo dienos.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kern w:val="0"/>
                <w14:ligatures w14:val="none"/>
              </w:rPr>
            </w:pPr>
            <w:r>
              <w:rPr>
                <w:rFonts w:eastAsia="Times New Roman" w:cs="Arial" w:ascii="Arial" w:hAnsi="Arial"/>
                <w:b/>
                <w:kern w:val="0"/>
                <w14:ligatures w14:val="none"/>
              </w:rPr>
              <w:t xml:space="preserve">6.3. Kokybinių kriterijų įgyvendinimo </w:t>
            </w:r>
            <w:r>
              <w:rPr>
                <w:rFonts w:eastAsia="Times New Roman" w:cs="Arial" w:ascii="Arial" w:hAnsi="Arial"/>
                <w:b/>
                <w:bCs/>
                <w:kern w:val="0"/>
                <w14:ligatures w14:val="none"/>
              </w:rPr>
              <w:t xml:space="preserve">ir </w:t>
            </w:r>
            <w:r>
              <w:rPr>
                <w:rFonts w:eastAsia="Times New Roman" w:cs="Arial" w:ascii="Arial" w:hAnsi="Arial"/>
                <w:b/>
                <w:kern w:val="0"/>
                <w14:ligatures w14:val="none"/>
              </w:rPr>
              <w:t>tikrinimo tvarka</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eastAsia="Times New Roman" w:cs="Arial"/>
                <w14:ligatures w14:val="none"/>
              </w:rPr>
            </w:pPr>
            <w:r>
              <w:rPr>
                <w:rFonts w:eastAsia="Times New Roman" w:cs="Arial" w:ascii="Arial" w:hAnsi="Arial"/>
                <w14:ligatures w14:val="none"/>
              </w:rPr>
              <w:t>Netaikoma</w:t>
            </w:r>
          </w:p>
          <w:p>
            <w:pPr>
              <w:pStyle w:val="Normal"/>
              <w:spacing w:lineRule="auto" w:line="240" w:before="0" w:after="0"/>
              <w:jc w:val="both"/>
              <w:rPr>
                <w:rFonts w:ascii="Arial" w:hAnsi="Arial" w:eastAsia="Times New Roman" w:cs="Arial"/>
                <w14:ligatures w14:val="none"/>
              </w:rPr>
            </w:pPr>
            <w:r>
              <w:rPr>
                <w:rFonts w:eastAsia="Times New Roman" w:cs="Arial" w:ascii="Arial" w:hAnsi="Arial"/>
                <w14:ligatures w14:val="none"/>
              </w:rPr>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b/>
                <w14:ligatures w14:val="none"/>
              </w:rPr>
            </w:pPr>
            <w:r>
              <w:rPr>
                <w:rFonts w:eastAsia="Times New Roman" w:cs="Arial" w:ascii="Arial" w:hAnsi="Arial"/>
                <w:b/>
                <w14:ligatures w14:val="none"/>
              </w:rPr>
              <w:t>7. SUTARTIES VYKDYMUI PASITELKIAMI SUBTIEKĖJAI IR (AR) SPECIALISTAI</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bCs/>
                <w14:ligatures w14:val="none"/>
              </w:rPr>
            </w:pPr>
            <w:r>
              <w:rPr>
                <w:rFonts w:eastAsia="Times New Roman" w:cs="Arial" w:ascii="Arial" w:hAnsi="Arial"/>
                <w:b/>
                <w:bCs/>
                <w14:ligatures w14:val="none"/>
              </w:rPr>
              <w:t>7.1. Sutarties vykdymui pasitelkiami subtiekėjai ir (ar) specialistai</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eastAsia="Times New Roman" w:cs="Arial"/>
                <w14:ligatures w14:val="none"/>
              </w:rPr>
            </w:pPr>
            <w:r>
              <w:rPr>
                <w:rFonts w:eastAsia="Times New Roman" w:cs="Arial" w:ascii="Arial" w:hAnsi="Arial"/>
                <w14:ligatures w14:val="none"/>
              </w:rPr>
              <w:t>Sutarties vykdymui subtiekėjai ir (ar) specialistai nepasitelkiami.</w:t>
            </w:r>
          </w:p>
          <w:p>
            <w:pPr>
              <w:pStyle w:val="Normal"/>
              <w:spacing w:lineRule="auto" w:line="240" w:before="0" w:after="0"/>
              <w:rPr>
                <w:rFonts w:ascii="Arial" w:hAnsi="Arial" w:eastAsia="Times New Roman" w:cs="Arial"/>
                <w14:ligatures w14:val="none"/>
              </w:rPr>
            </w:pPr>
            <w:r>
              <w:rPr>
                <w:rFonts w:eastAsia="Times New Roman" w:cs="Arial" w:ascii="Arial" w:hAnsi="Arial"/>
                <w14:ligatures w14:val="none"/>
              </w:rPr>
            </w:r>
          </w:p>
          <w:p>
            <w:pPr>
              <w:pStyle w:val="Normal"/>
              <w:spacing w:lineRule="auto" w:line="240" w:before="0" w:after="0"/>
              <w:rPr>
                <w:rFonts w:ascii="Arial" w:hAnsi="Arial" w:eastAsia="Times New Roman" w:cs="Arial"/>
                <w:color w:val="FF0000"/>
                <w14:ligatures w14:val="none"/>
              </w:rPr>
            </w:pPr>
            <w:r>
              <w:rPr>
                <w:rFonts w:eastAsia="Times New Roman" w:cs="Arial" w:ascii="Arial" w:hAnsi="Arial"/>
                <w:color w:val="FF0000"/>
                <w14:ligatures w14:val="none"/>
              </w:rPr>
              <w:t>arba</w:t>
            </w:r>
          </w:p>
          <w:p>
            <w:pPr>
              <w:pStyle w:val="Normal"/>
              <w:spacing w:lineRule="auto" w:line="240" w:before="0" w:after="0"/>
              <w:rPr>
                <w:rFonts w:ascii="Arial" w:hAnsi="Arial" w:eastAsia="Times New Roman" w:cs="Arial"/>
                <w14:ligatures w14:val="none"/>
              </w:rPr>
            </w:pPr>
            <w:r>
              <w:rPr>
                <w:rFonts w:eastAsia="Times New Roman" w:cs="Arial" w:ascii="Arial" w:hAnsi="Arial"/>
                <w14:ligatures w14:val="none"/>
              </w:rPr>
            </w:r>
          </w:p>
          <w:p>
            <w:pPr>
              <w:pStyle w:val="Normal"/>
              <w:spacing w:lineRule="auto" w:line="240" w:before="0" w:after="0"/>
              <w:jc w:val="both"/>
              <w:rPr>
                <w:rFonts w:ascii="Arial" w:hAnsi="Arial" w:eastAsia="Times New Roman" w:cs="Arial"/>
                <w:b/>
                <w14:ligatures w14:val="none"/>
              </w:rPr>
            </w:pPr>
            <w:r>
              <w:rPr>
                <w:rFonts w:eastAsia="Times New Roman" w:cs="Arial" w:ascii="Arial" w:hAnsi="Arial"/>
                <w14:ligatures w14:val="none"/>
              </w:rPr>
              <w:t>Sutarties vykdymui pasitelkiami subtiekėjai ir (ar) specialistai yra nurodyti Sutarties specialiųjų sąlygų priede Nr. 2  „Pasiūlymas“.</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b/>
                <w14:ligatures w14:val="none"/>
              </w:rPr>
            </w:pPr>
            <w:r>
              <w:rPr>
                <w:rFonts w:eastAsia="Times New Roman" w:cs="Arial" w:ascii="Arial" w:hAnsi="Arial"/>
                <w:b/>
                <w14:ligatures w14:val="none"/>
              </w:rPr>
              <w:t>8. PRIEVOLIŲ PAGAL SUTARTĮ ĮVYKDYMO UŽTIKRINIMAS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t>8.1. Prievolių pagal Sutartį įvykdymo užtikrinimas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14:ligatures w14:val="none"/>
              </w:rPr>
            </w:pPr>
            <w:r>
              <w:rPr>
                <w:rFonts w:eastAsia="Times New Roman" w:cs="Arial" w:ascii="Arial" w:hAnsi="Arial"/>
                <w14:ligatures w14:val="none"/>
              </w:rPr>
              <w:t>Prievolių pagal Sutartį įvykdymas užtikrinamas:</w:t>
            </w:r>
          </w:p>
          <w:p>
            <w:pPr>
              <w:pStyle w:val="Normal"/>
              <w:spacing w:lineRule="auto" w:line="240" w:before="0" w:after="0"/>
              <w:jc w:val="both"/>
              <w:rPr>
                <w:rFonts w:ascii="Arial" w:hAnsi="Arial" w:eastAsia="Times New Roman" w:cs="Arial"/>
                <w14:ligatures w14:val="none"/>
              </w:rPr>
            </w:pPr>
            <w:r>
              <w:rPr>
                <w:rFonts w:eastAsia="Times New Roman" w:cs="Arial" w:ascii="Arial" w:hAnsi="Arial"/>
                <w14:ligatures w14:val="none"/>
              </w:rPr>
              <w:t>Netesybomis (delspinigiais, bauda).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t>8.2 Sutarties įvykdymo užtikrinimo galiojimo terminas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14:ligatures w14:val="none"/>
              </w:rPr>
            </w:pPr>
            <w:r>
              <w:rPr>
                <w:rFonts w:eastAsia="Times New Roman" w:cs="Arial" w:ascii="Arial" w:hAnsi="Arial"/>
                <w14:ligatures w14:val="none"/>
              </w:rPr>
              <w:t>Netaikoma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t>8.3. Sutarties įvykdymo užtikrinimo pateikimas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14:ligatures w14:val="none"/>
              </w:rPr>
            </w:pPr>
            <w:r>
              <w:rPr>
                <w:rFonts w:eastAsia="Times New Roman" w:cs="Arial" w:ascii="Arial" w:hAnsi="Arial"/>
                <w14:ligatures w14:val="none"/>
              </w:rPr>
              <w:t>Netaikoma</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b/>
                <w14:ligatures w14:val="none"/>
              </w:rPr>
            </w:pPr>
            <w:r>
              <w:rPr>
                <w:rFonts w:eastAsia="Times New Roman" w:cs="Arial" w:ascii="Arial" w:hAnsi="Arial"/>
                <w:b/>
                <w14:ligatures w14:val="none"/>
              </w:rPr>
              <w:t>9. ŠALIŲ ATSAKOMYBĖ</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t>9.1. Pirkėjui taikomos netesybos už mokėjimų pagal Sutartį vėlavimą</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eastAsia="Times New Roman" w:cs="Arial"/>
                <w:color w:val="000000"/>
                <w14:ligatures w14:val="none"/>
              </w:rPr>
            </w:pPr>
            <w:r>
              <w:rPr>
                <w:rFonts w:eastAsia="Times New Roman" w:cs="Arial" w:ascii="Arial" w:hAnsi="Arial"/>
                <w:color w:val="000000"/>
                <w14:ligatures w14:val="none"/>
              </w:rPr>
              <w:t>Jei Pirkėjas, gavęs tinkamai pateiktą ir užpildytą draudimo liudijimą be trūkumų bei tinkamai pateiktą ir užpildytą Sąskaitą, uždelsia atsiskaityti per Sutartyje nurodytą terminą, Tiekėjas nuo kitos nei nustatytas terminas dienos skaičiuoja Pirkėjui 0,02 (dviejų šimtųjų) procento dydžio delspinigius nuo neapmokėtos sumos be PVM už kiekvieną vėlavimo dieną.</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kern w:val="0"/>
                <w14:ligatures w14:val="none"/>
              </w:rPr>
              <w:t>9.2. Tiekėjui taikomos netesybos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color w:val="000000"/>
                <w14:ligatures w14:val="none"/>
              </w:rPr>
            </w:pPr>
            <w:r>
              <w:rPr>
                <w:rFonts w:eastAsia="Times New Roman" w:cs="Arial" w:ascii="Arial" w:hAnsi="Arial"/>
                <w:color w:val="000000"/>
                <w14:ligatures w14:val="none"/>
              </w:rPr>
              <w:t>9.2.1. Jeigu Tiekėjas vėluoja suteikti Paslaugas 4.1 punkte nustatytais terminais, Pirkėjas nuo kitos nei nustatytas terminas dienos Tiekėjui skaičiuoja 0,02 (dviejų šimtųjų) procento dydžio delspinigius už kiekvieną uždelstą dieną nuo Pradinės Sutarties vertės.</w:t>
            </w:r>
          </w:p>
          <w:p>
            <w:pPr>
              <w:pStyle w:val="Normal"/>
              <w:spacing w:lineRule="auto" w:line="240" w:before="0" w:after="0"/>
              <w:jc w:val="both"/>
              <w:rPr>
                <w:rFonts w:ascii="Arial" w:hAnsi="Arial" w:eastAsia="Times New Roman" w:cs="Arial"/>
                <w:b/>
                <w14:ligatures w14:val="none"/>
              </w:rPr>
            </w:pPr>
            <w:r>
              <w:rPr>
                <w:rFonts w:eastAsia="Times New Roman" w:cs="Arial" w:ascii="Arial" w:hAnsi="Arial"/>
                <w:color w:val="000000"/>
                <w14:ligatures w14:val="none"/>
              </w:rPr>
              <w:t>9.2.2. Tiekėjas privalo sumokėti Pirkėjui netesybas per 30 (trisdešimt) kalendorinių dienų nuo Pirkėjo pareikalavimo, jeigu netesybų suma nėra išskaitoma iš Tiekėjui mokėtinos sumos.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t>9.3. Tiekėjui / Pirkėjui taikoma bauda nutraukus Sutartį dėl esminio Sutarties pažeidimo ar nepagrįstai nutraukus Sutarties vykdymą ne Sutartyje nustatyta tvarka</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eastAsia="Times New Roman" w:cs="Arial"/>
                <w:b/>
                <w:bCs/>
                <w14:ligatures w14:val="none"/>
              </w:rPr>
            </w:pPr>
            <w:r>
              <w:rPr>
                <w:rFonts w:eastAsia="Times New Roman" w:cs="Arial" w:ascii="Arial" w:hAnsi="Arial"/>
                <w14:ligatures w14:val="none"/>
              </w:rPr>
              <w:t xml:space="preserve">9.3.1. Nutraukus Sutartį dėl esminio Sutarties pažeidimo, nustatyto Sutarties Specialiosiose sąlygose, mokama </w:t>
            </w:r>
            <w:r>
              <w:rPr>
                <w:rFonts w:eastAsia="Times New Roman" w:cs="Arial" w:ascii="Arial" w:hAnsi="Arial"/>
                <w:b/>
                <w:bCs/>
                <w14:ligatures w14:val="none"/>
              </w:rPr>
              <w:t>3 (trijų) procentų nuo Pradinės Sutarties vertės dydžio bauda.</w:t>
            </w:r>
          </w:p>
          <w:p>
            <w:pPr>
              <w:pStyle w:val="Normal"/>
              <w:spacing w:lineRule="auto" w:line="240" w:before="0" w:after="0"/>
              <w:jc w:val="both"/>
              <w:rPr>
                <w:rFonts w:ascii="Arial" w:hAnsi="Arial" w:eastAsia="Times New Roman" w:cs="Arial"/>
                <w:kern w:val="0"/>
                <w14:ligatures w14:val="none"/>
              </w:rPr>
            </w:pPr>
            <w:r>
              <w:rPr>
                <w:rFonts w:eastAsia="Times New Roman" w:cs="Arial" w:ascii="Arial" w:hAnsi="Arial"/>
                <w:kern w:val="0"/>
                <w14:ligatures w14:val="none"/>
              </w:rPr>
              <w:t xml:space="preserve">9.3.2. Nepagrįstai nutraukus Sutarties vykdymą ne Sutartyje nustatyta tvarka, mokama </w:t>
            </w:r>
            <w:r>
              <w:rPr>
                <w:rFonts w:eastAsia="Times New Roman" w:cs="Arial" w:ascii="Arial" w:hAnsi="Arial"/>
                <w:b/>
                <w:bCs/>
                <w:kern w:val="0"/>
                <w14:ligatures w14:val="none"/>
              </w:rPr>
              <w:t>3 (trijų) procentų nuo Pradinės Sutarties vertės dydžio bauda.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t>9.4. Tiekėjui taikoma bauda dėl esamų subtiekėjų ar specialistų pakeitimo / naujų subtiekėjų pasitelkimo nesilaikant Bendrosiose sąlygose nurodytos subtiekėjų ir (ar) specialistų keitimo tvarkos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color w:val="000000"/>
                <w14:ligatures w14:val="none"/>
              </w:rPr>
            </w:pPr>
            <w:r>
              <w:rPr>
                <w:rFonts w:eastAsia="Times New Roman" w:cs="Arial" w:ascii="Arial" w:hAnsi="Arial"/>
                <w:color w:val="000000"/>
                <w14:ligatures w14:val="none"/>
              </w:rPr>
              <w:t>Netaikoma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t>9.5. Tiekėjui taikomos baudos dėl aplinkosauginių ir (arba) socialinių kriterijų nesilaikymo</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color w:val="000000"/>
                <w14:ligatures w14:val="none"/>
              </w:rPr>
            </w:pPr>
            <w:r>
              <w:rPr>
                <w:rFonts w:eastAsia="Times New Roman" w:cs="Arial" w:ascii="Arial" w:hAnsi="Arial"/>
                <w:color w:val="000000"/>
                <w14:ligatures w14:val="none"/>
              </w:rPr>
              <w:t>Netaikoma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t>9.6. Tiekėjui / Pirkėjui taikoma bauda dėl konfidencialumo reikalavimų nesilaikymo</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14:ligatures w14:val="none"/>
              </w:rPr>
            </w:pPr>
            <w:r>
              <w:rPr>
                <w:rFonts w:eastAsia="Times New Roman" w:cs="Arial" w:ascii="Arial" w:hAnsi="Arial"/>
                <w14:ligatures w14:val="none"/>
              </w:rPr>
              <w:t xml:space="preserve">Mokama </w:t>
            </w:r>
            <w:r>
              <w:rPr>
                <w:rFonts w:eastAsia="Times New Roman" w:cs="Arial" w:ascii="Arial" w:hAnsi="Arial"/>
                <w:b/>
                <w:bCs/>
                <w14:ligatures w14:val="none"/>
              </w:rPr>
              <w:t>3 (trijų) procentų nuo Pradinės Sutarties vertės dydžio bauda.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t>9.7. Tiekėjui taikomos netesybos dėl pirkimo dokumentuose nustatytų kokybinių kriterijų nepasiekimo Sutarties vykdymo metu</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color w:val="FF0000"/>
                <w14:ligatures w14:val="none"/>
              </w:rPr>
            </w:pPr>
            <w:r>
              <w:rPr>
                <w:rFonts w:eastAsia="Times New Roman" w:cs="Arial" w:ascii="Arial" w:hAnsi="Arial"/>
                <w:kern w:val="0"/>
                <w14:ligatures w14:val="none"/>
              </w:rPr>
              <w:t>Netaikoma</w:t>
            </w:r>
          </w:p>
        </w:tc>
      </w:tr>
      <w:tr>
        <w:trPr>
          <w:trHeight w:val="156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t xml:space="preserve">9.8. Tiekėjui taikomos netesybos dėl Sutarties įvykdymo užtikrinimo </w:t>
            </w:r>
            <w:r>
              <w:rPr>
                <w:rFonts w:eastAsia="Times New Roman" w:cs="Arial" w:ascii="Arial" w:hAnsi="Arial"/>
                <w:b/>
                <w:bCs/>
                <w:kern w:val="0"/>
                <w14:ligatures w14:val="none"/>
              </w:rPr>
              <w:t>nepratęsimo</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14:ligatures w14:val="none"/>
              </w:rPr>
            </w:pPr>
            <w:r>
              <w:rPr>
                <w:rFonts w:eastAsia="Times New Roman" w:cs="Arial" w:ascii="Arial" w:hAnsi="Arial"/>
                <w14:ligatures w14:val="none"/>
              </w:rPr>
              <w:t>Netaikoma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bCs/>
                <w14:ligatures w14:val="none"/>
              </w:rPr>
            </w:pPr>
            <w:r>
              <w:rPr>
                <w:rFonts w:eastAsia="Times New Roman" w:cs="Arial" w:ascii="Arial" w:hAnsi="Arial"/>
                <w:b/>
                <w:bCs/>
                <w:kern w:val="0"/>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kern w:val="0"/>
                <w14:ligatures w14:val="none"/>
              </w:rPr>
            </w:pPr>
            <w:r>
              <w:rPr>
                <w:rFonts w:eastAsia="Times New Roman" w:cs="Arial" w:ascii="Arial" w:hAnsi="Arial"/>
                <w14:ligatures w14:val="none"/>
              </w:rPr>
              <w:t>Netaikoma</w:t>
            </w:r>
          </w:p>
          <w:p>
            <w:pPr>
              <w:pStyle w:val="Normal"/>
              <w:spacing w:lineRule="auto" w:line="240" w:before="0" w:after="0"/>
              <w:rPr>
                <w:rFonts w:ascii="Arial" w:hAnsi="Arial" w:eastAsia="Times New Roman" w:cs="Arial"/>
                <w:color w:val="4472C4"/>
                <w14:ligatures w14:val="none"/>
              </w:rPr>
            </w:pPr>
            <w:r>
              <w:rPr>
                <w:rFonts w:eastAsia="Times New Roman" w:cs="Arial" w:ascii="Arial" w:hAnsi="Arial"/>
                <w:color w:val="4472C4"/>
                <w14:ligatures w14:val="none"/>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lang w:val="en-US"/>
                <w14:ligatures w14:val="none"/>
              </w:rPr>
            </w:pPr>
            <w:r>
              <w:rPr>
                <w:rFonts w:eastAsia="Times New Roman" w:cs="Arial" w:ascii="Arial" w:hAnsi="Arial"/>
                <w:b/>
                <w:lang w:val="en-US"/>
                <w14:ligatures w14:val="none"/>
              </w:rPr>
              <w:t xml:space="preserve">9.10. </w:t>
            </w:r>
            <w:r>
              <w:rPr>
                <w:rFonts w:eastAsia="Times New Roman" w:cs="Arial" w:ascii="Arial" w:hAnsi="Arial"/>
                <w:b/>
                <w14:ligatures w14:val="none"/>
              </w:rPr>
              <w:t>Kitos netesybos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color w:val="4472C4"/>
                <w14:ligatures w14:val="none"/>
              </w:rPr>
            </w:pPr>
            <w:r>
              <w:rPr>
                <w:rFonts w:eastAsia="Times New Roman" w:cs="Arial" w:ascii="Arial" w:hAnsi="Arial"/>
                <w14:ligatures w14:val="none"/>
              </w:rPr>
              <w:t>Netaikoma</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color w:val="4472C4"/>
                <w14:ligatures w14:val="none"/>
              </w:rPr>
            </w:pPr>
            <w:r>
              <w:rPr>
                <w:rFonts w:eastAsia="Times New Roman" w:cs="Arial" w:ascii="Arial" w:hAnsi="Arial"/>
                <w:b/>
                <w14:ligatures w14:val="none"/>
              </w:rPr>
              <w:t>10. ESMINĖS SUTARTIES SĄLYGOS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lang w:val="en-US"/>
                <w14:ligatures w14:val="none"/>
              </w:rPr>
            </w:pPr>
            <w:r>
              <w:rPr>
                <w:rFonts w:eastAsia="Times New Roman" w:cs="Arial" w:ascii="Arial" w:hAnsi="Arial"/>
                <w:b/>
                <w:lang w:val="en-US"/>
                <w14:ligatures w14:val="none"/>
              </w:rPr>
              <w:t xml:space="preserve">10.1. </w:t>
            </w:r>
            <w:r>
              <w:rPr>
                <w:rFonts w:eastAsia="Times New Roman" w:cs="Arial" w:ascii="Arial" w:hAnsi="Arial"/>
                <w:b/>
                <w14:ligatures w14:val="none"/>
              </w:rPr>
              <w:t>Esminės Sutarties sąlygos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color w:val="4472C4"/>
                <w14:ligatures w14:val="none"/>
              </w:rPr>
            </w:pPr>
            <w:r>
              <w:rPr>
                <w:rFonts w:eastAsia="Times New Roman" w:cs="Arial" w:ascii="Arial" w:hAnsi="Arial"/>
                <w14:ligatures w14:val="none"/>
              </w:rPr>
              <w:t>Šalys susitaria, kad Sutarties Specialiųjų sąlygų 3.1, 4.1 ir 6.2 papunkčiai yra esminės Sutarties sąlygos.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lang w:val="en-US"/>
                <w14:ligatures w14:val="none"/>
              </w:rPr>
            </w:pPr>
            <w:r>
              <w:rPr>
                <w:rFonts w:eastAsia="Times New Roman" w:cs="Arial" w:ascii="Arial" w:hAnsi="Arial"/>
                <w:b/>
                <w:bCs/>
                <w14:ligatures w14:val="none"/>
              </w:rPr>
              <w:t>10.2. Dideli arba nuolatiniai esminės Sutarties sąlygos vykdymo trūkumai</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14:ligatures w14:val="none"/>
              </w:rPr>
            </w:pPr>
            <w:r>
              <w:rPr>
                <w:rFonts w:eastAsia="Times New Roman" w:cs="Arial" w:ascii="Arial" w:hAnsi="Arial"/>
                <w14:ligatures w14:val="none"/>
              </w:rPr>
              <w:t xml:space="preserve">10.2.1. </w:t>
            </w:r>
            <w:r>
              <w:rPr>
                <w:rFonts w:eastAsia="Times New Roman" w:cs="Arial" w:ascii="Arial" w:hAnsi="Arial"/>
                <w:color w:val="000000"/>
                <w14:ligatures w14:val="none"/>
              </w:rPr>
              <w:t>Jeigu Tiekėjas vėluoja suteikti Paslaugas 4.1 punkte nustatytais terminais;</w:t>
            </w:r>
          </w:p>
          <w:p>
            <w:pPr>
              <w:pStyle w:val="Normal"/>
              <w:spacing w:lineRule="auto" w:line="240" w:before="0" w:after="0"/>
              <w:rPr>
                <w:rFonts w:ascii="Arial" w:hAnsi="Arial" w:eastAsia="Times New Roman" w:cs="Arial"/>
                <w14:ligatures w14:val="none"/>
              </w:rPr>
            </w:pPr>
            <w:r>
              <w:rPr>
                <w:rFonts w:eastAsia="Times New Roman" w:cs="Arial" w:ascii="Arial" w:hAnsi="Arial"/>
                <w14:ligatures w14:val="none"/>
              </w:rPr>
              <w:t>10.2.2. draudimo liudijime esančios klaidos neištaisomos per 6.2 punkte nurodytą terminą;</w:t>
            </w:r>
          </w:p>
          <w:p>
            <w:pPr>
              <w:pStyle w:val="Normal"/>
              <w:spacing w:lineRule="auto" w:line="240" w:before="0" w:after="0"/>
              <w:rPr>
                <w:rFonts w:ascii="Arial" w:hAnsi="Arial" w:eastAsia="Times New Roman" w:cs="Arial"/>
                <w14:ligatures w14:val="none"/>
              </w:rPr>
            </w:pPr>
            <w:r>
              <w:rPr>
                <w:rFonts w:eastAsia="Times New Roman" w:cs="Arial" w:ascii="Arial" w:hAnsi="Arial"/>
                <w14:ligatures w14:val="none"/>
              </w:rPr>
              <w:t>10.2.3. Tiekėjas nevykdo prisiimtų įsipareigojimų už Sutartyje nustatytą Sutarties kainą.</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b/>
                <w14:ligatures w14:val="none"/>
              </w:rPr>
            </w:pPr>
            <w:r>
              <w:rPr>
                <w:rFonts w:eastAsia="Times New Roman" w:cs="Arial" w:ascii="Arial" w:hAnsi="Arial"/>
                <w:b/>
                <w14:ligatures w14:val="none"/>
              </w:rPr>
              <w:t>11. SUTARTIES GALIOJIMAS IR KEITIMAS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kern w:val="0"/>
                <w14:ligatures w14:val="none"/>
              </w:rPr>
              <w:t>11.1. Sutarties sudarymas ir įsigaliojimas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eastAsia="Times New Roman" w:cs="Arial"/>
                <w14:ligatures w14:val="none"/>
              </w:rPr>
            </w:pPr>
            <w:r>
              <w:rPr>
                <w:rFonts w:eastAsia="Times New Roman" w:cs="Arial" w:ascii="Arial" w:hAnsi="Arial"/>
                <w14:ligatures w14:val="none"/>
              </w:rPr>
              <w:t>Ši Sutartis laikoma sudaryta ją pasirašius įgaliotiems Šalių atstovams ir nustatyta tvarka užregistravus.</w:t>
            </w:r>
          </w:p>
          <w:p>
            <w:pPr>
              <w:pStyle w:val="Normal"/>
              <w:spacing w:lineRule="auto" w:line="240" w:before="0" w:after="0"/>
              <w:jc w:val="both"/>
              <w:rPr>
                <w:rFonts w:ascii="Arial" w:hAnsi="Arial" w:eastAsia="Times New Roman" w:cs="Arial"/>
                <w14:ligatures w14:val="none"/>
              </w:rPr>
            </w:pPr>
            <w:r>
              <w:rPr>
                <w:rFonts w:eastAsia="Times New Roman" w:cs="Arial" w:ascii="Arial" w:hAnsi="Arial"/>
                <w14:ligatures w14:val="none"/>
              </w:rPr>
              <w:t xml:space="preserve">Šalys susitaria, kad Sutartis įsigalioja 2026 m. spalio 23 d. </w:t>
            </w:r>
          </w:p>
          <w:p>
            <w:pPr>
              <w:pStyle w:val="Normal"/>
              <w:spacing w:lineRule="auto" w:line="240" w:before="0" w:after="0"/>
              <w:jc w:val="both"/>
              <w:rPr>
                <w:rFonts w:ascii="Arial" w:hAnsi="Arial" w:eastAsia="Times New Roman" w:cs="Arial"/>
                <w:color w:val="4472C4"/>
                <w14:ligatures w14:val="none"/>
              </w:rPr>
            </w:pPr>
            <w:r>
              <w:rPr>
                <w:rFonts w:eastAsia="Times New Roman" w:cs="Arial" w:ascii="Arial" w:hAnsi="Arial"/>
                <w:color w:val="000000"/>
                <w14:ligatures w14:val="none"/>
              </w:rPr>
              <w:t xml:space="preserve">Sutartis galioja 14 (keturiolika) mėnesių iki visiško prievolių įvykdymo. </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t>11.2. Sutarties galiojimo termino pratęsimas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eastAsia="Times New Roman" w:cs="Arial"/>
                <w14:ligatures w14:val="none"/>
              </w:rPr>
            </w:pPr>
            <w:r>
              <w:rPr>
                <w:rFonts w:eastAsia="Times New Roman" w:cs="Arial" w:ascii="Arial" w:hAnsi="Arial"/>
                <w14:ligatures w14:val="none"/>
              </w:rPr>
              <w:t>Netaikoma</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b/>
                <w14:ligatures w14:val="none"/>
              </w:rPr>
            </w:pPr>
            <w:r>
              <w:rPr>
                <w:rFonts w:eastAsia="Times New Roman" w:cs="Arial" w:ascii="Arial" w:hAnsi="Arial"/>
                <w:b/>
                <w14:ligatures w14:val="none"/>
              </w:rPr>
              <w:t>12. SUTARTIES NUTRAUKIMAS</w:t>
            </w:r>
          </w:p>
        </w:tc>
      </w:tr>
      <w:tr>
        <w:trPr>
          <w:trHeight w:val="300" w:hRule="atLeast"/>
        </w:trPr>
        <w:tc>
          <w:tcPr>
            <w:tcW w:w="305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t>12.1. Sutarties nutraukimo pagrindai</w:t>
            </w:r>
          </w:p>
        </w:tc>
        <w:tc>
          <w:tcPr>
            <w:tcW w:w="6478" w:type="dxa"/>
            <w:gridSpan w:val="3"/>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eastAsia="Times New Roman" w:cs="Arial"/>
                <w14:ligatures w14:val="none"/>
              </w:rPr>
            </w:pPr>
            <w:r>
              <w:rPr>
                <w:rFonts w:eastAsia="Times New Roman" w:cs="Arial" w:ascii="Arial" w:hAnsi="Arial"/>
                <w14:ligatures w14:val="none"/>
              </w:rPr>
              <w:t>Sutartis gali būti nutraukiama rašytiniu Šalių sutarimu arba vienašališkai, Bendrosiose sąlygose nustatyta tvarka.</w:t>
            </w:r>
          </w:p>
        </w:tc>
      </w:tr>
      <w:tr>
        <w:trPr>
          <w:trHeight w:val="300" w:hRule="atLeast"/>
        </w:trPr>
        <w:tc>
          <w:tcPr>
            <w:tcW w:w="305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t xml:space="preserve">12.2. Esminiai Sutarties </w:t>
            </w:r>
            <w:r>
              <w:rPr>
                <w:rFonts w:eastAsia="Times New Roman" w:cs="Arial" w:ascii="Arial" w:hAnsi="Arial"/>
                <w:b/>
                <w:kern w:val="0"/>
                <w14:ligatures w14:val="none"/>
              </w:rPr>
              <w:t>pažeidimai</w:t>
            </w:r>
          </w:p>
        </w:tc>
        <w:tc>
          <w:tcPr>
            <w:tcW w:w="6478" w:type="dxa"/>
            <w:gridSpan w:val="3"/>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Arial" w:cs="Arial"/>
                <w14:ligatures w14:val="none"/>
              </w:rPr>
            </w:pPr>
            <w:r>
              <w:rPr>
                <w:rFonts w:eastAsia="Arial" w:cs="Arial" w:ascii="Arial" w:hAnsi="Arial"/>
                <w14:ligatures w14:val="none"/>
              </w:rPr>
              <w:t>12.2.1. Draudimo liudijimas nepateikiamas iki 4.1 punkte nurodytos Paslaugų suteikimo datos pradžios;</w:t>
            </w:r>
          </w:p>
          <w:p>
            <w:pPr>
              <w:pStyle w:val="Normal"/>
              <w:spacing w:lineRule="auto" w:line="240" w:before="0" w:after="0"/>
              <w:rPr>
                <w:rFonts w:ascii="Arial" w:hAnsi="Arial" w:eastAsia="Arial" w:cs="Arial"/>
                <w14:ligatures w14:val="none"/>
              </w:rPr>
            </w:pPr>
            <w:r>
              <w:rPr>
                <w:rFonts w:eastAsia="Arial" w:cs="Arial" w:ascii="Arial" w:hAnsi="Arial"/>
                <w14:ligatures w14:val="none"/>
              </w:rPr>
              <w:t>12.2.2. draudimo liudijime esančios klaidos neištaisomos per 6.2 punkte nurodytą terminą;</w:t>
            </w:r>
          </w:p>
          <w:p>
            <w:pPr>
              <w:pStyle w:val="Normal"/>
              <w:spacing w:lineRule="auto" w:line="240" w:before="0" w:after="0"/>
              <w:rPr>
                <w:rFonts w:ascii="Arial" w:hAnsi="Arial" w:eastAsia="Arial" w:cs="Arial"/>
                <w14:ligatures w14:val="none"/>
              </w:rPr>
            </w:pPr>
            <w:r>
              <w:rPr>
                <w:rFonts w:eastAsia="Arial" w:cs="Arial" w:ascii="Arial" w:hAnsi="Arial"/>
                <w14:ligatures w14:val="none"/>
              </w:rPr>
              <w:t>12.2.3. Tiekėjas nevykdo prisiimtų įsipareigojimų už Sutartyje nustatytą Sutarties kainą.</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14:ligatures w14:val="none"/>
              </w:rPr>
            </w:pPr>
            <w:r>
              <w:rPr>
                <w:rFonts w:eastAsia="Times New Roman" w:cs="Arial" w:ascii="Arial" w:hAnsi="Arial"/>
                <w:b/>
                <w14:ligatures w14:val="none"/>
              </w:rPr>
              <w:t>13. APLINKOS APSAUGOS IR SOCIALINIAI KRITERIJAI</w:t>
            </w:r>
          </w:p>
        </w:tc>
      </w:tr>
      <w:tr>
        <w:trPr>
          <w:trHeight w:val="300" w:hRule="atLeast"/>
        </w:trPr>
        <w:tc>
          <w:tcPr>
            <w:tcW w:w="305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t>13.1. Su perkamomis paslaugomis susiję  aplinkos apsaugos kriterijai</w:t>
            </w:r>
          </w:p>
        </w:tc>
        <w:tc>
          <w:tcPr>
            <w:tcW w:w="6478" w:type="dxa"/>
            <w:gridSpan w:val="3"/>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eastAsia="Times New Roman" w:cs="Arial"/>
                <w14:ligatures w14:val="none"/>
              </w:rPr>
            </w:pPr>
            <w:r>
              <w:rPr>
                <w:rFonts w:eastAsia="Times New Roman" w:cs="Arial" w:ascii="Arial" w:hAnsi="Arial"/>
                <w:color w:val="000000"/>
                <w:shd w:fill="FFFFFF" w:val="clear"/>
                <w14:ligatures w14:val="none"/>
              </w:rPr>
              <w:t>Aplinkos apsaugos kriterijai Paslaugoms nustatomi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4.4.3 papunkčiu (perkama tik nematerialaus pobūdžio (intelektinė) paslauga, nesusijusi su materialaus objekto sukūrimu) ir 4.4.4.1 papunkčiu (savarankiškai nustatomi aplinkos apsaugos kriterijai). Tiekėjas įsipareigoja laikytis šių aplinkosaugos reikalavimų: mažinti popieriaus sunaudojimą, atsisakyti nebūtino dokumentų kopijavimo ir spausdinimo; rengiama dokumentacija, prekių perdavimo–priėmimo aktai Pirkėjui turi būti pateikti tik elektroniniu formatu.</w:t>
            </w:r>
          </w:p>
        </w:tc>
      </w:tr>
      <w:tr>
        <w:trPr>
          <w:trHeight w:val="300" w:hRule="atLeast"/>
        </w:trPr>
        <w:tc>
          <w:tcPr>
            <w:tcW w:w="305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t>13.2. Su perkamomis Paslaugomis susiję socialiniai kriterijai</w:t>
            </w:r>
          </w:p>
        </w:tc>
        <w:tc>
          <w:tcPr>
            <w:tcW w:w="6478" w:type="dxa"/>
            <w:gridSpan w:val="3"/>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color w:val="000000"/>
                <w:shd w:fill="FFFFFF" w:val="clear"/>
                <w14:ligatures w14:val="none"/>
              </w:rPr>
            </w:pPr>
            <w:r>
              <w:rPr>
                <w:rFonts w:eastAsia="Times New Roman" w:cs="Arial" w:ascii="Arial" w:hAnsi="Arial"/>
                <w:color w:val="000000"/>
                <w:shd w:fill="FFFFFF" w:val="clear"/>
                <w14:ligatures w14:val="none"/>
              </w:rPr>
              <w:t>Netaikoma</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b/>
                <w14:ligatures w14:val="none"/>
              </w:rPr>
            </w:pPr>
            <w:r>
              <w:rPr>
                <w:rFonts w:eastAsia="Times New Roman" w:cs="Arial" w:ascii="Arial" w:hAnsi="Arial"/>
                <w:b/>
                <w14:ligatures w14:val="none"/>
              </w:rPr>
              <w:t>14. BENDRŲJŲ SĄLYGŲ PAKEITIMAI IR PAPILDYMAI</w:t>
            </w:r>
          </w:p>
        </w:tc>
      </w:tr>
      <w:tr>
        <w:trPr>
          <w:trHeight w:val="300" w:hRule="atLeast"/>
        </w:trPr>
        <w:tc>
          <w:tcPr>
            <w:tcW w:w="305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t>14.1.</w:t>
            </w:r>
          </w:p>
        </w:tc>
        <w:tc>
          <w:tcPr>
            <w:tcW w:w="6478" w:type="dxa"/>
            <w:gridSpan w:val="3"/>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eastAsia="Times New Roman" w:cs="Arial"/>
                <w14:ligatures w14:val="none"/>
              </w:rPr>
            </w:pPr>
            <w:r>
              <w:rPr>
                <w:rFonts w:eastAsia="Times New Roman" w:cs="Arial" w:ascii="Arial" w:hAnsi="Arial"/>
                <w14:ligatures w14:val="none"/>
              </w:rPr>
              <w:t>Šalys susitaria papildyti Sutarties Bendrąsias sąlygas 26 skyriumi „Baigiamosios nuostatos“:</w:t>
            </w:r>
          </w:p>
          <w:p>
            <w:pPr>
              <w:pStyle w:val="Normal"/>
              <w:spacing w:lineRule="auto" w:line="240" w:before="0" w:after="0"/>
              <w:jc w:val="both"/>
              <w:rPr>
                <w:rFonts w:ascii="Arial" w:hAnsi="Arial" w:eastAsia="Times New Roman" w:cs="Arial"/>
                <w14:ligatures w14:val="none"/>
              </w:rPr>
            </w:pPr>
            <w:r>
              <w:rPr>
                <w:rFonts w:eastAsia="Times New Roman" w:cs="Arial" w:ascii="Arial" w:hAnsi="Arial"/>
                <w14:ligatures w14:val="none"/>
              </w:rPr>
              <w:t>„</w:t>
            </w:r>
            <w:r>
              <w:rPr>
                <w:rFonts w:eastAsia="Times New Roman" w:cs="Arial" w:ascii="Arial" w:hAnsi="Arial"/>
                <w14:ligatures w14:val="none"/>
              </w:rPr>
              <w:t>26.1.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https://vmu.lt/wp-content/uploads/2021/08/Antikorupcine-politika.pdf;</w:t>
            </w:r>
          </w:p>
          <w:p>
            <w:pPr>
              <w:pStyle w:val="Normal"/>
              <w:spacing w:lineRule="auto" w:line="240" w:before="0" w:after="0"/>
              <w:jc w:val="both"/>
              <w:rPr>
                <w:rFonts w:ascii="Arial" w:hAnsi="Arial" w:eastAsia="Times New Roman" w:cs="Arial"/>
                <w14:ligatures w14:val="none"/>
              </w:rPr>
            </w:pPr>
            <w:r>
              <w:rPr>
                <w:rFonts w:eastAsia="Times New Roman" w:cs="Arial" w:ascii="Arial" w:hAnsi="Arial"/>
                <w14:ligatures w14:val="none"/>
              </w:rPr>
              <w:t>26.2. Dovanų politika – dokumentas, kuriuo apibrėžiamos valstybės įmonės Valstybinių miškų urėdijos darbuotojų elgesio su dovanomis ir neteisėtu atlygiu principinės nuostatos. Su dokumentu galima susipažinti https://vmu.lt/wp-content/uploads/2022/09/Dovanu-politika1.pdf;</w:t>
            </w:r>
          </w:p>
          <w:p>
            <w:pPr>
              <w:pStyle w:val="Normal"/>
              <w:spacing w:lineRule="auto" w:line="240" w:before="0" w:after="0"/>
              <w:jc w:val="both"/>
              <w:rPr>
                <w:rFonts w:ascii="Arial" w:hAnsi="Arial" w:eastAsia="Times New Roman" w:cs="Arial"/>
                <w14:ligatures w14:val="none"/>
              </w:rPr>
            </w:pPr>
            <w:r>
              <w:rPr>
                <w:rFonts w:eastAsia="Times New Roman" w:cs="Arial" w:ascii="Arial" w:hAnsi="Arial"/>
                <w14:ligatures w14:val="none"/>
              </w:rPr>
              <w:t>26.3.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https://vmu.lt/wp-content/uploads/2021/08/Interesu-konfliktu-vengimo-politika.pdf;</w:t>
            </w:r>
          </w:p>
          <w:p>
            <w:pPr>
              <w:pStyle w:val="Normal"/>
              <w:spacing w:lineRule="auto" w:line="240" w:before="0" w:after="0"/>
              <w:jc w:val="both"/>
              <w:rPr>
                <w:rFonts w:ascii="Arial" w:hAnsi="Arial" w:eastAsia="Times New Roman" w:cs="Arial"/>
                <w14:ligatures w14:val="none"/>
              </w:rPr>
            </w:pPr>
            <w:r>
              <w:rPr>
                <w:rFonts w:eastAsia="Times New Roman" w:cs="Arial" w:ascii="Arial" w:hAnsi="Arial"/>
                <w14:ligatures w14:val="none"/>
              </w:rPr>
              <w:t>26.4.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https://vmu.lt/korupcijos-prevencija/, skiltis „Tiekėjų elgesio kodeksas ir kiti reikalavimai VMU veiklos partneriams“);</w:t>
            </w:r>
          </w:p>
          <w:p>
            <w:pPr>
              <w:pStyle w:val="Normal"/>
              <w:spacing w:lineRule="auto" w:line="240" w:before="0" w:after="0"/>
              <w:jc w:val="both"/>
              <w:rPr>
                <w:rFonts w:ascii="Arial" w:hAnsi="Arial" w:eastAsia="Times New Roman" w:cs="Arial"/>
                <w14:ligatures w14:val="none"/>
              </w:rPr>
            </w:pPr>
            <w:r>
              <w:rPr>
                <w:rFonts w:eastAsia="Times New Roman" w:cs="Arial" w:ascii="Arial" w:hAnsi="Arial"/>
                <w14:ligatures w14:val="none"/>
              </w:rPr>
              <w:t>26.5.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pPr>
              <w:pStyle w:val="Normal"/>
              <w:spacing w:lineRule="auto" w:line="240" w:before="0" w:after="0"/>
              <w:jc w:val="both"/>
              <w:rPr>
                <w:rFonts w:ascii="Arial" w:hAnsi="Arial" w:eastAsia="Times New Roman" w:cs="Arial"/>
                <w14:ligatures w14:val="none"/>
              </w:rPr>
            </w:pPr>
            <w:r>
              <w:rPr>
                <w:rFonts w:eastAsia="Times New Roman" w:cs="Arial" w:ascii="Arial" w:hAnsi="Arial"/>
                <w14:ligatures w14:val="none"/>
              </w:rPr>
              <w:t>26.6.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pPr>
              <w:pStyle w:val="Normal"/>
              <w:spacing w:lineRule="auto" w:line="240" w:before="0" w:after="0"/>
              <w:jc w:val="both"/>
              <w:rPr>
                <w:rFonts w:ascii="Arial" w:hAnsi="Arial" w:eastAsia="Times New Roman" w:cs="Arial"/>
                <w14:ligatures w14:val="none"/>
              </w:rPr>
            </w:pPr>
            <w:r>
              <w:rPr>
                <w:rFonts w:eastAsia="Times New Roman" w:cs="Arial" w:ascii="Arial" w:hAnsi="Arial"/>
                <w14:ligatures w14:val="none"/>
              </w:rPr>
              <w:t>26.7. Tiekėjas nedelsiant informuoja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pPr>
              <w:pStyle w:val="Normal"/>
              <w:spacing w:lineRule="auto" w:line="240" w:before="0" w:after="0"/>
              <w:jc w:val="both"/>
              <w:rPr>
                <w:rFonts w:ascii="Arial" w:hAnsi="Arial" w:eastAsia="Times New Roman" w:cs="Arial"/>
                <w14:ligatures w14:val="none"/>
              </w:rPr>
            </w:pPr>
            <w:r>
              <w:rPr>
                <w:rFonts w:eastAsia="Times New Roman" w:cs="Arial" w:ascii="Arial" w:hAnsi="Arial"/>
                <w14:ligatures w14:val="none"/>
              </w:rPr>
              <w:t>26.8. Tiekėjas papildomai pareiškia ir garantuoja Pirkėjui, kad Sutarties sudarymo metu ir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nė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apie tai informuoti Pirkėją.</w:t>
            </w:r>
          </w:p>
          <w:p>
            <w:pPr>
              <w:pStyle w:val="Normal"/>
              <w:spacing w:lineRule="auto" w:line="240" w:before="0" w:after="0"/>
              <w:jc w:val="both"/>
              <w:rPr>
                <w:rFonts w:ascii="Arial" w:hAnsi="Arial" w:cs="Arial"/>
              </w:rPr>
            </w:pPr>
            <w:r>
              <w:rPr>
                <w:rFonts w:eastAsia="Times New Roman" w:cs="Arial" w:ascii="Arial" w:hAnsi="Arial"/>
                <w14:ligatures w14:val="none"/>
              </w:rPr>
              <w:t xml:space="preserve">26.9. </w:t>
            </w:r>
            <w:r>
              <w:rPr>
                <w:rFonts w:cs="Arial" w:ascii="Arial" w:hAnsi="Arial"/>
              </w:rPr>
              <w:t>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trPr>
          <w:trHeight w:val="300" w:hRule="atLeast"/>
        </w:trPr>
        <w:tc>
          <w:tcPr>
            <w:tcW w:w="305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t>14.2.</w:t>
            </w:r>
          </w:p>
        </w:tc>
        <w:tc>
          <w:tcPr>
            <w:tcW w:w="6478" w:type="dxa"/>
            <w:gridSpan w:val="3"/>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eastAsia="Times New Roman" w:cs="Arial"/>
                <w14:ligatures w14:val="none"/>
              </w:rPr>
            </w:pPr>
            <w:r>
              <w:rPr>
                <w:rFonts w:eastAsia="Times New Roman" w:cs="Arial" w:ascii="Arial" w:hAnsi="Arial"/>
                <w14:ligatures w14:val="none"/>
              </w:rPr>
              <w:t>Šalys susitaria papildyti Sutarties Bendrąsias sąlygas nurodytu punktu:</w:t>
            </w:r>
          </w:p>
          <w:p>
            <w:pPr>
              <w:pStyle w:val="Normal"/>
              <w:spacing w:lineRule="auto" w:line="240" w:before="0" w:after="0"/>
              <w:jc w:val="both"/>
              <w:rPr>
                <w:rFonts w:ascii="Arial" w:hAnsi="Arial" w:eastAsia="Times New Roman" w:cs="Arial"/>
                <w14:ligatures w14:val="none"/>
              </w:rPr>
            </w:pPr>
            <w:r>
              <w:rPr>
                <w:rFonts w:eastAsia="Times New Roman" w:cs="Arial" w:ascii="Arial" w:hAnsi="Arial"/>
                <w14:ligatures w14:val="none"/>
              </w:rPr>
              <w:t>„</w:t>
            </w:r>
            <w:r>
              <w:rPr>
                <w:rFonts w:eastAsia="Times New Roman" w:cs="Arial" w:ascii="Arial" w:hAnsi="Arial"/>
                <w14:ligatures w14:val="none"/>
              </w:rPr>
              <w:t>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priedas Nr. 4)</w:t>
            </w:r>
            <w:r>
              <w:rPr>
                <w:rFonts w:eastAsia="Times New Roman" w:cs="Arial" w:ascii="Arial" w:hAnsi="Arial"/>
                <w:i/>
                <w:iCs/>
                <w14:ligatures w14:val="none"/>
              </w:rPr>
              <w:t>.</w:t>
            </w:r>
            <w:r>
              <w:rPr>
                <w:rFonts w:eastAsia="Times New Roman" w:cs="Arial" w:ascii="Arial" w:hAnsi="Arial"/>
                <w14:ligatures w14:val="none"/>
              </w:rPr>
              <w:t>“</w:t>
            </w:r>
          </w:p>
        </w:tc>
      </w:tr>
      <w:tr>
        <w:trPr>
          <w:trHeight w:val="300" w:hRule="atLeast"/>
        </w:trPr>
        <w:tc>
          <w:tcPr>
            <w:tcW w:w="305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b/>
                <w14:ligatures w14:val="none"/>
              </w:rPr>
            </w:pPr>
            <w:r>
              <w:rPr>
                <w:rFonts w:eastAsia="Times New Roman" w:cs="Arial" w:ascii="Arial" w:hAnsi="Arial"/>
                <w:b/>
                <w14:ligatures w14:val="none"/>
              </w:rPr>
              <w:t>14.3.</w:t>
            </w:r>
          </w:p>
        </w:tc>
        <w:tc>
          <w:tcPr>
            <w:tcW w:w="6478" w:type="dxa"/>
            <w:gridSpan w:val="3"/>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eastAsia="Times New Roman" w:cs="Arial"/>
                <w:color w:val="0070C0"/>
                <w14:ligatures w14:val="none"/>
              </w:rPr>
            </w:pPr>
            <w:r>
              <w:rPr>
                <w:rFonts w:eastAsia="Times New Roman" w:cs="Arial" w:ascii="Arial" w:hAnsi="Arial"/>
                <w14:ligatures w14:val="none"/>
              </w:rPr>
              <w:t>Sutarties Bendrosiose sąlygose nurodytos alternatyvios nuostatos (su prierašu „jei taikoma“ ir pan.) taikomos tik tokiu atveju, jeigu jos konkrečiai aprašomos Sutarties Specialiosiose sąlygose arba prieduose.</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b/>
                <w14:ligatures w14:val="none"/>
              </w:rPr>
            </w:pPr>
            <w:r>
              <w:rPr>
                <w:rFonts w:eastAsia="Times New Roman" w:cs="Arial" w:ascii="Arial" w:hAnsi="Arial"/>
                <w:b/>
                <w14:ligatures w14:val="none"/>
              </w:rPr>
              <w:t>15. SUTARTIES PRIEDAI</w:t>
            </w:r>
          </w:p>
        </w:tc>
      </w:tr>
      <w:tr>
        <w:trPr>
          <w:trHeight w:val="300" w:hRule="atLeast"/>
        </w:trPr>
        <w:tc>
          <w:tcPr>
            <w:tcW w:w="305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b/>
                <w14:ligatures w14:val="none"/>
              </w:rPr>
            </w:pPr>
            <w:r>
              <w:rPr>
                <w:rFonts w:eastAsia="Times New Roman" w:cs="Arial" w:ascii="Arial" w:hAnsi="Arial"/>
                <w:b/>
                <w14:ligatures w14:val="none"/>
              </w:rPr>
              <w:t>15.1. Priedas Nr. 1</w:t>
            </w:r>
          </w:p>
        </w:tc>
        <w:tc>
          <w:tcPr>
            <w:tcW w:w="6478" w:type="dxa"/>
            <w:gridSpan w:val="3"/>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eastAsia="Times New Roman" w:cs="Arial"/>
                <w:b/>
                <w14:ligatures w14:val="none"/>
              </w:rPr>
            </w:pPr>
            <w:r>
              <w:rPr>
                <w:rFonts w:eastAsia="Times New Roman" w:cs="Arial" w:ascii="Arial" w:hAnsi="Arial"/>
                <w:b/>
                <w14:ligatures w14:val="none"/>
              </w:rPr>
              <w:t>Techninė specifikacija</w:t>
            </w:r>
          </w:p>
        </w:tc>
      </w:tr>
      <w:tr>
        <w:trPr>
          <w:trHeight w:val="300" w:hRule="atLeast"/>
        </w:trPr>
        <w:tc>
          <w:tcPr>
            <w:tcW w:w="305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b/>
                <w14:ligatures w14:val="none"/>
              </w:rPr>
            </w:pPr>
            <w:r>
              <w:rPr>
                <w:rFonts w:eastAsia="Times New Roman" w:cs="Arial" w:ascii="Arial" w:hAnsi="Arial"/>
                <w:b/>
                <w14:ligatures w14:val="none"/>
              </w:rPr>
              <w:t>15.2. Priedas Nr. 2</w:t>
            </w:r>
          </w:p>
        </w:tc>
        <w:tc>
          <w:tcPr>
            <w:tcW w:w="6478" w:type="dxa"/>
            <w:gridSpan w:val="3"/>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eastAsia="Times New Roman" w:cs="Arial"/>
                <w:b/>
                <w14:ligatures w14:val="none"/>
              </w:rPr>
            </w:pPr>
            <w:r>
              <w:rPr>
                <w:rFonts w:eastAsia="Times New Roman" w:cs="Arial" w:ascii="Arial" w:hAnsi="Arial"/>
                <w:b/>
                <w14:ligatures w14:val="none"/>
              </w:rPr>
              <w:t>Pasiūlymas</w:t>
            </w:r>
          </w:p>
        </w:tc>
      </w:tr>
      <w:tr>
        <w:trPr>
          <w:trHeight w:val="300" w:hRule="atLeast"/>
        </w:trPr>
        <w:tc>
          <w:tcPr>
            <w:tcW w:w="305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b/>
                <w14:ligatures w14:val="none"/>
              </w:rPr>
            </w:pPr>
            <w:r>
              <w:rPr>
                <w:rFonts w:eastAsia="Times New Roman" w:cs="Arial" w:ascii="Arial" w:hAnsi="Arial"/>
                <w:b/>
                <w14:ligatures w14:val="none"/>
              </w:rPr>
              <w:t>15.3. Priedas Nr. 3</w:t>
            </w:r>
          </w:p>
        </w:tc>
        <w:tc>
          <w:tcPr>
            <w:tcW w:w="6478" w:type="dxa"/>
            <w:gridSpan w:val="3"/>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eastAsia="Times New Roman" w:cs="Arial"/>
                <w:b/>
                <w14:ligatures w14:val="none"/>
              </w:rPr>
            </w:pPr>
            <w:r>
              <w:rPr>
                <w:rFonts w:eastAsia="Times New Roman" w:cs="Arial" w:ascii="Arial" w:hAnsi="Arial"/>
                <w:b/>
                <w14:ligatures w14:val="none"/>
              </w:rPr>
              <w:t>Sutarties bendrosios sąlygos</w:t>
            </w:r>
          </w:p>
        </w:tc>
      </w:tr>
      <w:tr>
        <w:trPr>
          <w:trHeight w:val="300" w:hRule="atLeast"/>
        </w:trPr>
        <w:tc>
          <w:tcPr>
            <w:tcW w:w="305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b/>
                <w14:ligatures w14:val="none"/>
              </w:rPr>
            </w:pPr>
            <w:r>
              <w:rPr>
                <w:rFonts w:eastAsia="Times New Roman" w:cs="Arial" w:ascii="Arial" w:hAnsi="Arial"/>
                <w:b/>
                <w14:ligatures w14:val="none"/>
              </w:rPr>
              <w:t>15.4. Priedas Nr. 4</w:t>
            </w:r>
          </w:p>
        </w:tc>
        <w:tc>
          <w:tcPr>
            <w:tcW w:w="6478" w:type="dxa"/>
            <w:gridSpan w:val="3"/>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eastAsia="Times New Roman" w:cs="Arial"/>
                <w:b/>
                <w14:ligatures w14:val="none"/>
              </w:rPr>
            </w:pPr>
            <w:r>
              <w:rPr>
                <w:rFonts w:eastAsia="Times New Roman" w:cs="Arial" w:ascii="Arial" w:hAnsi="Arial"/>
                <w:b/>
                <w14:ligatures w14:val="none"/>
              </w:rPr>
              <w:t>Įsipareigojimas neatskleisti konfidencialios informacijos</w:t>
            </w:r>
          </w:p>
        </w:tc>
      </w:tr>
      <w:tr>
        <w:trPr>
          <w:trHeight w:val="300" w:hRule="atLeast"/>
        </w:trPr>
        <w:tc>
          <w:tcPr>
            <w:tcW w:w="305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b/>
                <w14:ligatures w14:val="none"/>
              </w:rPr>
            </w:pPr>
            <w:r>
              <w:rPr>
                <w:rFonts w:eastAsia="Times New Roman" w:cs="Arial" w:ascii="Arial" w:hAnsi="Arial"/>
                <w:b/>
                <w14:ligatures w14:val="none"/>
              </w:rPr>
              <w:t>15.5. Priedas Nr. 5</w:t>
            </w:r>
          </w:p>
        </w:tc>
        <w:tc>
          <w:tcPr>
            <w:tcW w:w="6478" w:type="dxa"/>
            <w:gridSpan w:val="3"/>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eastAsia="Times New Roman" w:cs="Arial"/>
                <w:b/>
                <w14:ligatures w14:val="none"/>
              </w:rPr>
            </w:pPr>
            <w:r>
              <w:rPr>
                <w:rFonts w:eastAsia="Times New Roman" w:cs="Arial" w:ascii="Arial" w:hAnsi="Arial"/>
                <w:b/>
                <w14:ligatures w14:val="none"/>
              </w:rPr>
              <w:t>Draudimo liudijimas (polisas)</w:t>
            </w:r>
          </w:p>
        </w:tc>
      </w:tr>
      <w:tr>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b/>
                <w14:ligatures w14:val="none"/>
              </w:rPr>
            </w:pPr>
            <w:r>
              <w:rPr>
                <w:rFonts w:eastAsia="Times New Roman" w:cs="Arial" w:ascii="Arial" w:hAnsi="Arial"/>
                <w:b/>
                <w14:ligatures w14:val="none"/>
              </w:rPr>
              <w:t>16. ŠALIŲ ATSTOVŲ PARAŠAI</w:t>
            </w:r>
          </w:p>
        </w:tc>
      </w:tr>
      <w:tr>
        <w:trPr/>
        <w:tc>
          <w:tcPr>
            <w:tcW w:w="5226" w:type="dxa"/>
            <w:gridSpan w:val="3"/>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b/>
                <w14:ligatures w14:val="none"/>
              </w:rPr>
            </w:pPr>
            <w:r>
              <w:rPr>
                <w:rFonts w:eastAsia="Times New Roman" w:cs="Arial" w:ascii="Arial" w:hAnsi="Arial"/>
                <w:b/>
                <w14:ligatures w14:val="none"/>
              </w:rPr>
              <w:t>PIRKĖJAS</w:t>
            </w:r>
          </w:p>
        </w:tc>
        <w:tc>
          <w:tcPr>
            <w:tcW w:w="430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b/>
                <w14:ligatures w14:val="none"/>
              </w:rPr>
            </w:pPr>
            <w:r>
              <w:rPr>
                <w:rFonts w:eastAsia="Times New Roman" w:cs="Arial" w:ascii="Arial" w:hAnsi="Arial"/>
                <w:b/>
                <w14:ligatures w14:val="none"/>
              </w:rPr>
              <w:t>TIEKĖJAS</w:t>
            </w:r>
          </w:p>
        </w:tc>
      </w:tr>
      <w:tr>
        <w:trPr/>
        <w:tc>
          <w:tcPr>
            <w:tcW w:w="5226" w:type="dxa"/>
            <w:gridSpan w:val="3"/>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color w:val="4472C4"/>
                <w14:ligatures w14:val="none"/>
              </w:rPr>
            </w:pPr>
            <w:r>
              <w:rPr>
                <w:rFonts w:eastAsia="Times New Roman" w:cs="Arial" w:ascii="Arial" w:hAnsi="Arial"/>
                <w:color w:val="4472C4"/>
                <w14:ligatures w14:val="none"/>
              </w:rPr>
              <w:t>(nurodomos atstovo pareigos, vardas, pavardė)</w:t>
            </w:r>
          </w:p>
        </w:tc>
        <w:tc>
          <w:tcPr>
            <w:tcW w:w="430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b/>
                <w14:ligatures w14:val="none"/>
              </w:rPr>
            </w:pPr>
            <w:r>
              <w:rPr>
                <w:rFonts w:eastAsia="Times New Roman" w:cs="Arial" w:ascii="Arial" w:hAnsi="Arial"/>
                <w:color w:val="4472C4"/>
                <w14:ligatures w14:val="none"/>
              </w:rPr>
              <w:t>(nurodomos atstovo pareigos, vardas, pavardė)</w:t>
            </w:r>
          </w:p>
        </w:tc>
      </w:tr>
      <w:tr>
        <w:trPr/>
        <w:tc>
          <w:tcPr>
            <w:tcW w:w="5226" w:type="dxa"/>
            <w:gridSpan w:val="3"/>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b/>
                <w:color w:val="4472C4"/>
                <w14:ligatures w14:val="none"/>
              </w:rPr>
            </w:pPr>
            <w:r>
              <w:rPr>
                <w:rFonts w:eastAsia="Times New Roman" w:cs="Arial" w:ascii="Arial" w:hAnsi="Arial"/>
                <w:b/>
                <w:color w:val="4472C4"/>
                <w14:ligatures w14:val="none"/>
              </w:rPr>
            </w:r>
          </w:p>
          <w:p>
            <w:pPr>
              <w:pStyle w:val="Normal"/>
              <w:spacing w:lineRule="auto" w:line="240" w:before="0" w:after="0"/>
              <w:jc w:val="center"/>
              <w:rPr>
                <w:rFonts w:ascii="Arial" w:hAnsi="Arial" w:eastAsia="Times New Roman" w:cs="Arial"/>
                <w:b/>
                <w:color w:val="4472C4"/>
                <w14:ligatures w14:val="none"/>
              </w:rPr>
            </w:pPr>
            <w:r>
              <w:rPr>
                <w:rFonts w:eastAsia="Times New Roman" w:cs="Arial" w:ascii="Arial" w:hAnsi="Arial"/>
                <w:b/>
                <w:color w:val="4472C4"/>
                <w14:ligatures w14:val="none"/>
              </w:rPr>
              <w:t>(parašas)</w:t>
            </w:r>
          </w:p>
          <w:p>
            <w:pPr>
              <w:pStyle w:val="Normal"/>
              <w:spacing w:lineRule="auto" w:line="240" w:before="0" w:after="0"/>
              <w:jc w:val="center"/>
              <w:rPr>
                <w:rFonts w:ascii="Arial" w:hAnsi="Arial" w:eastAsia="Times New Roman" w:cs="Arial"/>
                <w:b/>
                <w:color w:val="4472C4"/>
                <w14:ligatures w14:val="none"/>
              </w:rPr>
            </w:pPr>
            <w:r>
              <w:rPr>
                <w:rFonts w:eastAsia="Times New Roman" w:cs="Arial" w:ascii="Arial" w:hAnsi="Arial"/>
                <w:b/>
                <w:color w:val="4472C4"/>
                <w14:ligatures w14:val="none"/>
              </w:rPr>
            </w:r>
          </w:p>
          <w:p>
            <w:pPr>
              <w:pStyle w:val="Normal"/>
              <w:spacing w:lineRule="auto" w:line="240" w:before="0" w:after="0"/>
              <w:jc w:val="center"/>
              <w:rPr>
                <w:rFonts w:ascii="Arial" w:hAnsi="Arial" w:eastAsia="Times New Roman" w:cs="Arial"/>
                <w:b/>
                <w:color w:val="4472C4"/>
                <w14:ligatures w14:val="none"/>
              </w:rPr>
            </w:pPr>
            <w:r>
              <w:rPr>
                <w:rFonts w:eastAsia="Times New Roman" w:cs="Arial" w:ascii="Arial" w:hAnsi="Arial"/>
                <w:b/>
                <w:color w:val="4472C4"/>
                <w14:ligatures w14:val="none"/>
              </w:rPr>
            </w:r>
          </w:p>
        </w:tc>
        <w:tc>
          <w:tcPr>
            <w:tcW w:w="430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b/>
                <w:color w:val="4472C4"/>
                <w14:ligatures w14:val="none"/>
              </w:rPr>
            </w:pPr>
            <w:r>
              <w:rPr>
                <w:rFonts w:eastAsia="Times New Roman" w:cs="Arial" w:ascii="Arial" w:hAnsi="Arial"/>
                <w:b/>
                <w:color w:val="4472C4"/>
                <w14:ligatures w14:val="none"/>
              </w:rPr>
            </w:r>
          </w:p>
          <w:p>
            <w:pPr>
              <w:pStyle w:val="Normal"/>
              <w:spacing w:lineRule="auto" w:line="240" w:before="0" w:after="0"/>
              <w:jc w:val="center"/>
              <w:rPr>
                <w:rFonts w:ascii="Arial" w:hAnsi="Arial" w:eastAsia="Times New Roman" w:cs="Arial"/>
                <w:b/>
                <w:color w:val="4472C4"/>
                <w14:ligatures w14:val="none"/>
              </w:rPr>
            </w:pPr>
            <w:r>
              <w:rPr>
                <w:rFonts w:eastAsia="Times New Roman" w:cs="Arial" w:ascii="Arial" w:hAnsi="Arial"/>
                <w:b/>
                <w:color w:val="4472C4"/>
                <w14:ligatures w14:val="none"/>
              </w:rPr>
              <w:t>(parašas)</w:t>
            </w:r>
          </w:p>
        </w:tc>
      </w:tr>
    </w:tbl>
    <w:p>
      <w:pPr>
        <w:pStyle w:val="Normal"/>
        <w:widowControl/>
        <w:suppressAutoHyphens w:val="true"/>
        <w:bidi w:val="0"/>
        <w:spacing w:lineRule="auto" w:line="259" w:before="0" w:after="160"/>
        <w:jc w:val="left"/>
        <w:rPr/>
      </w:pPr>
      <w:r>
        <w:rPr/>
      </w:r>
    </w:p>
    <w:sectPr>
      <w:headerReference w:type="even" r:id="rId5"/>
      <w:headerReference w:type="default" r:id="rId6"/>
      <w:headerReference w:type="first" r:id="rId7"/>
      <w:footerReference w:type="even" r:id="rId8"/>
      <w:footerReference w:type="default" r:id="rId9"/>
      <w:footerReference w:type="first" r:id="rId10"/>
      <w:type w:val="nextPage"/>
      <w:pgSz w:w="12240" w:h="15840"/>
      <w:pgMar w:left="1701" w:right="567" w:gutter="0" w:header="720" w:top="1701" w:footer="720" w:bottom="1134"/>
      <w:pgNumType w:start="1" w:fmt="decimal"/>
      <w:formProt w:val="false"/>
      <w:titlePg/>
      <w:textDirection w:val="lrTb"/>
      <w:docGrid w:type="default" w:linePitch="360" w:charSpace="1228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ptos">
    <w:charset w:val="00"/>
    <w:family w:val="roman"/>
    <w:pitch w:val="variable"/>
  </w:font>
  <w:font w:name="Aptos Display">
    <w:charset w:val="00"/>
    <w:family w:val="roman"/>
    <w:pitch w:val="variable"/>
  </w:font>
  <w:font w:name="Liberation Sans">
    <w:altName w:val="Arial"/>
    <w:charset w:val="00"/>
    <w:family w:val="swiss"/>
    <w:pitch w:val="variable"/>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spacing w:before="0" w:after="16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jc w:val="center"/>
      <w:rPr>
        <w:rFonts w:ascii="Arial" w:hAnsi="Arial" w:eastAsia="Arial" w:cs="Arial"/>
        <w:sz w:val="18"/>
        <w:szCs w:val="18"/>
      </w:rPr>
    </w:pPr>
    <w:r>
      <w:rPr>
        <w:rFonts w:eastAsia="Arial" w:cs="Arial" w:ascii="Arial" w:hAnsi="Arial"/>
        <w:sz w:val="18"/>
        <w:szCs w:val="18"/>
      </w:rPr>
      <w:fldChar w:fldCharType="begin"/>
    </w:r>
    <w:r>
      <w:rPr>
        <w:sz w:val="18"/>
        <w:szCs w:val="18"/>
        <w:rFonts w:eastAsia="Arial" w:cs="Arial" w:ascii="Arial" w:hAnsi="Arial"/>
      </w:rPr>
      <w:instrText xml:space="preserve"> PAGE </w:instrText>
    </w:r>
    <w:r>
      <w:rPr>
        <w:sz w:val="18"/>
        <w:szCs w:val="18"/>
        <w:rFonts w:eastAsia="Arial" w:cs="Arial" w:ascii="Arial" w:hAnsi="Arial"/>
      </w:rPr>
      <w:fldChar w:fldCharType="separate"/>
    </w:r>
    <w:r>
      <w:rPr>
        <w:sz w:val="18"/>
        <w:szCs w:val="18"/>
        <w:rFonts w:eastAsia="Arial" w:cs="Arial" w:ascii="Arial" w:hAnsi="Arial"/>
      </w:rPr>
      <w:t>9</w:t>
    </w:r>
    <w:r>
      <w:rPr>
        <w:sz w:val="18"/>
        <w:szCs w:val="18"/>
        <w:rFonts w:eastAsia="Arial" w:cs="Arial" w:ascii="Arial" w:hAnsi="Arial"/>
      </w:rPr>
      <w:fldChar w:fldCharType="end"/>
    </w:r>
  </w:p>
  <w:p>
    <w:pPr>
      <w:pStyle w:val="Normal"/>
      <w:tabs>
        <w:tab w:val="clear" w:pos="1296"/>
        <w:tab w:val="center" w:pos="4680" w:leader="none"/>
        <w:tab w:val="right" w:pos="9360" w:leader="none"/>
      </w:tabs>
      <w:spacing w:before="0" w:after="160"/>
      <w:jc w:val="both"/>
      <w:rPr>
        <w:rFonts w:ascii="Arial" w:hAnsi="Arial" w:eastAsia="Arial" w:cs="Arial"/>
        <w:sz w:val="18"/>
        <w:szCs w:val="18"/>
      </w:rPr>
    </w:pPr>
    <w:r>
      <w:rPr>
        <w:rFonts w:eastAsia="Arial" w:cs="Arial" w:ascii="Arial" w:hAnsi="Arial"/>
        <w:sz w:val="18"/>
        <w:szCs w:val="18"/>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rPr>
    </w:pPr>
    <w:r>
      <w:rPr>
        <w:rFonts w:cs="Arial" w:ascii="Arial" w:hAnsi="Arial"/>
      </w:rPr>
      <w:t xml:space="preserve">Atviro konkurso Specialiųjų sąlygų 5 priedas </w:t>
    </w:r>
  </w:p>
  <w:p>
    <w:pPr>
      <w:pStyle w:val="Header"/>
      <w:jc w:val="right"/>
      <w:rPr/>
    </w:pPr>
    <w:r>
      <w:rPr>
        <w:rFonts w:cs="Arial" w:ascii="Arial" w:hAnsi="Arial"/>
      </w:rPr>
      <w:t>„</w:t>
    </w:r>
    <w:r>
      <w:rPr>
        <w:rFonts w:cs="Arial" w:ascii="Arial" w:hAnsi="Arial"/>
      </w:rPr>
      <w:t>Sutarties specialiųjų sąlygų projektas“</w:t>
    </w:r>
  </w:p>
</w:hdr>
</file>

<file path=word/settings.xml><?xml version="1.0" encoding="utf-8"?>
<w:settings xmlns:w="http://schemas.openxmlformats.org/wordprocessingml/2006/main">
  <w:zoom w:percent="110"/>
  <w:trackRevisions/>
  <w:defaultTabStop w:val="1296"/>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2"/>
        <w:szCs w:val="22"/>
        <w:lang w:val="lt-LT"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left"/>
    </w:pPr>
    <w:rPr>
      <w:rFonts w:ascii="Aptos" w:hAnsi="Aptos" w:eastAsia="Aptos" w:cs="" w:asciiTheme="minorHAnsi" w:cstheme="minorBidi" w:eastAsiaTheme="minorHAnsi" w:hAnsiTheme="minorHAnsi"/>
      <w:color w:val="auto"/>
      <w:kern w:val="2"/>
      <w:sz w:val="22"/>
      <w:szCs w:val="22"/>
      <w:lang w:val="lt-LT" w:eastAsia="en-US" w:bidi="ar-SA"/>
      <w14:ligatures w14:val="standardContextual"/>
    </w:rPr>
  </w:style>
  <w:style w:type="paragraph" w:styleId="Heading1">
    <w:name w:val="heading 1"/>
    <w:basedOn w:val="Normal"/>
    <w:next w:val="Normal"/>
    <w:link w:val="Antrat1Diagrama"/>
    <w:uiPriority w:val="9"/>
    <w:qFormat/>
    <w:rsid w:val="00147788"/>
    <w:pPr>
      <w:keepNext w:val="true"/>
      <w:keepLines/>
      <w:spacing w:before="360" w:after="80"/>
      <w:outlineLvl w:val="0"/>
    </w:pPr>
    <w:rPr>
      <w:rFonts w:ascii="Aptos Display" w:hAnsi="Aptos Display" w:eastAsia="" w:cs="" w:asciiTheme="majorHAnsi" w:cstheme="majorBidi" w:eastAsiaTheme="majorEastAsia" w:hAnsiTheme="majorHAnsi"/>
      <w:color w:themeColor="accent1" w:themeShade="bf" w:val="0F4761"/>
      <w:sz w:val="40"/>
      <w:szCs w:val="40"/>
    </w:rPr>
  </w:style>
  <w:style w:type="paragraph" w:styleId="Heading2">
    <w:name w:val="heading 2"/>
    <w:basedOn w:val="Normal"/>
    <w:next w:val="Normal"/>
    <w:link w:val="Antrat2Diagrama"/>
    <w:uiPriority w:val="9"/>
    <w:semiHidden/>
    <w:unhideWhenUsed/>
    <w:qFormat/>
    <w:rsid w:val="00147788"/>
    <w:pPr>
      <w:keepNext w:val="true"/>
      <w:keepLines/>
      <w:spacing w:before="160" w:after="80"/>
      <w:outlineLvl w:val="1"/>
    </w:pPr>
    <w:rPr>
      <w:rFonts w:ascii="Aptos Display" w:hAnsi="Aptos Display" w:eastAsia="" w:cs="" w:asciiTheme="majorHAnsi" w:cstheme="majorBidi" w:eastAsiaTheme="majorEastAsia" w:hAnsiTheme="majorHAnsi"/>
      <w:color w:themeColor="accent1" w:themeShade="bf" w:val="0F4761"/>
      <w:sz w:val="32"/>
      <w:szCs w:val="32"/>
    </w:rPr>
  </w:style>
  <w:style w:type="paragraph" w:styleId="Heading3">
    <w:name w:val="heading 3"/>
    <w:basedOn w:val="Normal"/>
    <w:next w:val="Normal"/>
    <w:link w:val="Antrat3Diagrama"/>
    <w:uiPriority w:val="9"/>
    <w:semiHidden/>
    <w:unhideWhenUsed/>
    <w:qFormat/>
    <w:rsid w:val="00147788"/>
    <w:pPr>
      <w:keepNext w:val="true"/>
      <w:keepLines/>
      <w:spacing w:before="160" w:after="80"/>
      <w:outlineLvl w:val="2"/>
    </w:pPr>
    <w:rPr>
      <w:rFonts w:eastAsia="" w:cs="" w:cstheme="majorBidi" w:eastAsiaTheme="majorEastAsia"/>
      <w:color w:themeColor="accent1" w:themeShade="bf" w:val="0F4761"/>
      <w:sz w:val="28"/>
      <w:szCs w:val="28"/>
    </w:rPr>
  </w:style>
  <w:style w:type="paragraph" w:styleId="Heading4">
    <w:name w:val="heading 4"/>
    <w:basedOn w:val="Normal"/>
    <w:next w:val="Normal"/>
    <w:link w:val="Antrat4Diagrama"/>
    <w:uiPriority w:val="9"/>
    <w:semiHidden/>
    <w:unhideWhenUsed/>
    <w:qFormat/>
    <w:rsid w:val="00147788"/>
    <w:pPr>
      <w:keepNext w:val="true"/>
      <w:keepLines/>
      <w:spacing w:before="80" w:after="40"/>
      <w:outlineLvl w:val="3"/>
    </w:pPr>
    <w:rPr>
      <w:rFonts w:eastAsia="" w:cs="" w:cstheme="majorBidi" w:eastAsiaTheme="majorEastAsia"/>
      <w:i/>
      <w:iCs/>
      <w:color w:themeColor="accent1" w:themeShade="bf" w:val="0F4761"/>
    </w:rPr>
  </w:style>
  <w:style w:type="paragraph" w:styleId="Heading5">
    <w:name w:val="heading 5"/>
    <w:basedOn w:val="Normal"/>
    <w:next w:val="Normal"/>
    <w:link w:val="Antrat5Diagrama"/>
    <w:uiPriority w:val="9"/>
    <w:semiHidden/>
    <w:unhideWhenUsed/>
    <w:qFormat/>
    <w:rsid w:val="00147788"/>
    <w:pPr>
      <w:keepNext w:val="true"/>
      <w:keepLines/>
      <w:spacing w:before="80" w:after="40"/>
      <w:outlineLvl w:val="4"/>
    </w:pPr>
    <w:rPr>
      <w:rFonts w:eastAsia="" w:cs="" w:cstheme="majorBidi" w:eastAsiaTheme="majorEastAsia"/>
      <w:color w:themeColor="accent1" w:themeShade="bf" w:val="0F4761"/>
    </w:rPr>
  </w:style>
  <w:style w:type="paragraph" w:styleId="Heading6">
    <w:name w:val="heading 6"/>
    <w:basedOn w:val="Normal"/>
    <w:next w:val="Normal"/>
    <w:link w:val="Antrat6Diagrama"/>
    <w:uiPriority w:val="9"/>
    <w:semiHidden/>
    <w:unhideWhenUsed/>
    <w:qFormat/>
    <w:rsid w:val="00147788"/>
    <w:pPr>
      <w:keepNext w:val="true"/>
      <w:keepLines/>
      <w:spacing w:before="40" w:after="0"/>
      <w:outlineLvl w:val="5"/>
    </w:pPr>
    <w:rPr>
      <w:rFonts w:eastAsia="" w:cs="" w:cstheme="majorBidi" w:eastAsiaTheme="majorEastAsia"/>
      <w:i/>
      <w:iCs/>
      <w:color w:themeColor="text1" w:themeTint="a6" w:val="595959"/>
    </w:rPr>
  </w:style>
  <w:style w:type="paragraph" w:styleId="Heading7">
    <w:name w:val="heading 7"/>
    <w:basedOn w:val="Normal"/>
    <w:next w:val="Normal"/>
    <w:link w:val="Antrat7Diagrama"/>
    <w:uiPriority w:val="9"/>
    <w:semiHidden/>
    <w:unhideWhenUsed/>
    <w:qFormat/>
    <w:rsid w:val="00147788"/>
    <w:pPr>
      <w:keepNext w:val="true"/>
      <w:keepLines/>
      <w:spacing w:before="40" w:after="0"/>
      <w:outlineLvl w:val="6"/>
    </w:pPr>
    <w:rPr>
      <w:rFonts w:eastAsia="" w:cs="" w:cstheme="majorBidi" w:eastAsiaTheme="majorEastAsia"/>
      <w:color w:themeColor="text1" w:themeTint="a6" w:val="595959"/>
    </w:rPr>
  </w:style>
  <w:style w:type="paragraph" w:styleId="Heading8">
    <w:name w:val="heading 8"/>
    <w:basedOn w:val="Normal"/>
    <w:next w:val="Normal"/>
    <w:link w:val="Antrat8Diagrama"/>
    <w:uiPriority w:val="9"/>
    <w:semiHidden/>
    <w:unhideWhenUsed/>
    <w:qFormat/>
    <w:rsid w:val="00147788"/>
    <w:pPr>
      <w:keepNext w:val="true"/>
      <w:keepLines/>
      <w:spacing w:before="0" w:after="0"/>
      <w:outlineLvl w:val="7"/>
    </w:pPr>
    <w:rPr>
      <w:rFonts w:eastAsia="" w:cs="" w:cstheme="majorBidi" w:eastAsiaTheme="majorEastAsia"/>
      <w:i/>
      <w:iCs/>
      <w:color w:themeColor="text1" w:themeTint="d8" w:val="272727"/>
    </w:rPr>
  </w:style>
  <w:style w:type="paragraph" w:styleId="Heading9">
    <w:name w:val="heading 9"/>
    <w:basedOn w:val="Normal"/>
    <w:next w:val="Normal"/>
    <w:link w:val="Antrat9Diagrama"/>
    <w:uiPriority w:val="9"/>
    <w:semiHidden/>
    <w:unhideWhenUsed/>
    <w:qFormat/>
    <w:rsid w:val="00147788"/>
    <w:pPr>
      <w:keepNext w:val="true"/>
      <w:keepLines/>
      <w:spacing w:before="0" w:after="0"/>
      <w:outlineLvl w:val="8"/>
    </w:pPr>
    <w:rPr>
      <w:rFonts w:eastAsia="" w:cs="" w:cstheme="majorBidi" w:eastAsiaTheme="majorEastAsia"/>
      <w:color w:themeColor="text1" w:themeTint="d8" w:val="272727"/>
    </w:rPr>
  </w:style>
  <w:style w:type="character" w:styleId="DefaultParagraphFont" w:default="1">
    <w:name w:val="Default Paragraph Font"/>
    <w:uiPriority w:val="1"/>
    <w:semiHidden/>
    <w:unhideWhenUsed/>
    <w:qFormat/>
    <w:rPr/>
  </w:style>
  <w:style w:type="character" w:styleId="Antrat1Diagrama" w:customStyle="1">
    <w:name w:val="Antraštė 1 Diagrama"/>
    <w:basedOn w:val="DefaultParagraphFont"/>
    <w:uiPriority w:val="9"/>
    <w:qFormat/>
    <w:rsid w:val="00147788"/>
    <w:rPr>
      <w:rFonts w:ascii="Aptos Display" w:hAnsi="Aptos Display" w:eastAsia="" w:cs="" w:asciiTheme="majorHAnsi" w:cstheme="majorBidi" w:eastAsiaTheme="majorEastAsia" w:hAnsiTheme="majorHAnsi"/>
      <w:color w:themeColor="accent1" w:themeShade="bf" w:val="0F4761"/>
      <w:sz w:val="40"/>
      <w:szCs w:val="40"/>
    </w:rPr>
  </w:style>
  <w:style w:type="character" w:styleId="Antrat2Diagrama" w:customStyle="1">
    <w:name w:val="Antraštė 2 Diagrama"/>
    <w:basedOn w:val="DefaultParagraphFont"/>
    <w:uiPriority w:val="9"/>
    <w:semiHidden/>
    <w:qFormat/>
    <w:rsid w:val="00147788"/>
    <w:rPr>
      <w:rFonts w:ascii="Aptos Display" w:hAnsi="Aptos Display" w:eastAsia="" w:cs="" w:asciiTheme="majorHAnsi" w:cstheme="majorBidi" w:eastAsiaTheme="majorEastAsia" w:hAnsiTheme="majorHAnsi"/>
      <w:color w:themeColor="accent1" w:themeShade="bf" w:val="0F4761"/>
      <w:sz w:val="32"/>
      <w:szCs w:val="32"/>
    </w:rPr>
  </w:style>
  <w:style w:type="character" w:styleId="Antrat3Diagrama" w:customStyle="1">
    <w:name w:val="Antraštė 3 Diagrama"/>
    <w:basedOn w:val="DefaultParagraphFont"/>
    <w:uiPriority w:val="9"/>
    <w:semiHidden/>
    <w:qFormat/>
    <w:rsid w:val="00147788"/>
    <w:rPr>
      <w:rFonts w:eastAsia="" w:cs="" w:cstheme="majorBidi" w:eastAsiaTheme="majorEastAsia"/>
      <w:color w:themeColor="accent1" w:themeShade="bf" w:val="0F4761"/>
      <w:sz w:val="28"/>
      <w:szCs w:val="28"/>
    </w:rPr>
  </w:style>
  <w:style w:type="character" w:styleId="Antrat4Diagrama" w:customStyle="1">
    <w:name w:val="Antraštė 4 Diagrama"/>
    <w:basedOn w:val="DefaultParagraphFont"/>
    <w:uiPriority w:val="9"/>
    <w:semiHidden/>
    <w:qFormat/>
    <w:rsid w:val="00147788"/>
    <w:rPr>
      <w:rFonts w:eastAsia="" w:cs="" w:cstheme="majorBidi" w:eastAsiaTheme="majorEastAsia"/>
      <w:i/>
      <w:iCs/>
      <w:color w:themeColor="accent1" w:themeShade="bf" w:val="0F4761"/>
    </w:rPr>
  </w:style>
  <w:style w:type="character" w:styleId="Antrat5Diagrama" w:customStyle="1">
    <w:name w:val="Antraštė 5 Diagrama"/>
    <w:basedOn w:val="DefaultParagraphFont"/>
    <w:uiPriority w:val="9"/>
    <w:semiHidden/>
    <w:qFormat/>
    <w:rsid w:val="00147788"/>
    <w:rPr>
      <w:rFonts w:eastAsia="" w:cs="" w:cstheme="majorBidi" w:eastAsiaTheme="majorEastAsia"/>
      <w:color w:themeColor="accent1" w:themeShade="bf" w:val="0F4761"/>
    </w:rPr>
  </w:style>
  <w:style w:type="character" w:styleId="Antrat6Diagrama" w:customStyle="1">
    <w:name w:val="Antraštė 6 Diagrama"/>
    <w:basedOn w:val="DefaultParagraphFont"/>
    <w:uiPriority w:val="9"/>
    <w:semiHidden/>
    <w:qFormat/>
    <w:rsid w:val="00147788"/>
    <w:rPr>
      <w:rFonts w:eastAsia="" w:cs="" w:cstheme="majorBidi" w:eastAsiaTheme="majorEastAsia"/>
      <w:i/>
      <w:iCs/>
      <w:color w:themeColor="text1" w:themeTint="a6" w:val="595959"/>
    </w:rPr>
  </w:style>
  <w:style w:type="character" w:styleId="Antrat7Diagrama" w:customStyle="1">
    <w:name w:val="Antraštė 7 Diagrama"/>
    <w:basedOn w:val="DefaultParagraphFont"/>
    <w:uiPriority w:val="9"/>
    <w:semiHidden/>
    <w:qFormat/>
    <w:rsid w:val="00147788"/>
    <w:rPr>
      <w:rFonts w:eastAsia="" w:cs="" w:cstheme="majorBidi" w:eastAsiaTheme="majorEastAsia"/>
      <w:color w:themeColor="text1" w:themeTint="a6" w:val="595959"/>
    </w:rPr>
  </w:style>
  <w:style w:type="character" w:styleId="Antrat8Diagrama" w:customStyle="1">
    <w:name w:val="Antraštė 8 Diagrama"/>
    <w:basedOn w:val="DefaultParagraphFont"/>
    <w:uiPriority w:val="9"/>
    <w:semiHidden/>
    <w:qFormat/>
    <w:rsid w:val="00147788"/>
    <w:rPr>
      <w:rFonts w:eastAsia="" w:cs="" w:cstheme="majorBidi" w:eastAsiaTheme="majorEastAsia"/>
      <w:i/>
      <w:iCs/>
      <w:color w:themeColor="text1" w:themeTint="d8" w:val="272727"/>
    </w:rPr>
  </w:style>
  <w:style w:type="character" w:styleId="Antrat9Diagrama" w:customStyle="1">
    <w:name w:val="Antraštė 9 Diagrama"/>
    <w:basedOn w:val="DefaultParagraphFont"/>
    <w:uiPriority w:val="9"/>
    <w:semiHidden/>
    <w:qFormat/>
    <w:rsid w:val="00147788"/>
    <w:rPr>
      <w:rFonts w:eastAsia="" w:cs="" w:cstheme="majorBidi" w:eastAsiaTheme="majorEastAsia"/>
      <w:color w:themeColor="text1" w:themeTint="d8" w:val="272727"/>
    </w:rPr>
  </w:style>
  <w:style w:type="character" w:styleId="PavadinimasDiagrama" w:customStyle="1">
    <w:name w:val="Pavadinimas Diagrama"/>
    <w:basedOn w:val="DefaultParagraphFont"/>
    <w:uiPriority w:val="10"/>
    <w:qFormat/>
    <w:rsid w:val="00147788"/>
    <w:rPr>
      <w:rFonts w:ascii="Aptos Display" w:hAnsi="Aptos Display" w:eastAsia="" w:cs="" w:asciiTheme="majorHAnsi" w:cstheme="majorBidi" w:eastAsiaTheme="majorEastAsia" w:hAnsiTheme="majorHAnsi"/>
      <w:spacing w:val="-10"/>
      <w:kern w:val="2"/>
      <w:sz w:val="56"/>
      <w:szCs w:val="56"/>
    </w:rPr>
  </w:style>
  <w:style w:type="character" w:styleId="PaantratDiagrama" w:customStyle="1">
    <w:name w:val="Paantraštė Diagrama"/>
    <w:basedOn w:val="DefaultParagraphFont"/>
    <w:uiPriority w:val="11"/>
    <w:qFormat/>
    <w:rsid w:val="00147788"/>
    <w:rPr>
      <w:rFonts w:eastAsia="" w:cs="" w:cstheme="majorBidi" w:eastAsiaTheme="majorEastAsia"/>
      <w:color w:themeColor="text1" w:themeTint="a6" w:val="595959"/>
      <w:spacing w:val="15"/>
      <w:sz w:val="28"/>
      <w:szCs w:val="28"/>
    </w:rPr>
  </w:style>
  <w:style w:type="character" w:styleId="CitataDiagrama" w:customStyle="1">
    <w:name w:val="Citata Diagrama"/>
    <w:basedOn w:val="DefaultParagraphFont"/>
    <w:link w:val="Quote"/>
    <w:uiPriority w:val="29"/>
    <w:qFormat/>
    <w:rsid w:val="00147788"/>
    <w:rPr>
      <w:i/>
      <w:iCs/>
      <w:color w:themeColor="text1" w:themeTint="bf" w:val="404040"/>
    </w:rPr>
  </w:style>
  <w:style w:type="character" w:styleId="IntenseEmphasis">
    <w:name w:val="Intense Emphasis"/>
    <w:basedOn w:val="DefaultParagraphFont"/>
    <w:uiPriority w:val="21"/>
    <w:qFormat/>
    <w:rsid w:val="00147788"/>
    <w:rPr>
      <w:i/>
      <w:iCs/>
      <w:color w:themeColor="accent1" w:themeShade="bf" w:val="0F4761"/>
    </w:rPr>
  </w:style>
  <w:style w:type="character" w:styleId="IskirtacitataDiagrama" w:customStyle="1">
    <w:name w:val="Išskirta citata Diagrama"/>
    <w:basedOn w:val="DefaultParagraphFont"/>
    <w:link w:val="IntenseQuote"/>
    <w:uiPriority w:val="30"/>
    <w:qFormat/>
    <w:rsid w:val="00147788"/>
    <w:rPr>
      <w:i/>
      <w:iCs/>
      <w:color w:themeColor="accent1" w:themeShade="bf" w:val="0F4761"/>
    </w:rPr>
  </w:style>
  <w:style w:type="character" w:styleId="IntenseReference">
    <w:name w:val="Intense Reference"/>
    <w:basedOn w:val="DefaultParagraphFont"/>
    <w:uiPriority w:val="32"/>
    <w:qFormat/>
    <w:rsid w:val="00147788"/>
    <w:rPr>
      <w:b/>
      <w:bCs/>
      <w:smallCaps/>
      <w:color w:themeColor="accent1" w:themeShade="bf" w:val="0F4761"/>
      <w:spacing w:val="5"/>
    </w:rPr>
  </w:style>
  <w:style w:type="character" w:styleId="PlaceholderText">
    <w:name w:val="Placeholder Text"/>
    <w:basedOn w:val="DefaultParagraphFont"/>
    <w:qFormat/>
    <w:rsid w:val="006308fe"/>
    <w:rPr>
      <w:color w:val="808080"/>
    </w:rPr>
  </w:style>
  <w:style w:type="character" w:styleId="InternetLink" w:customStyle="1">
    <w:name w:val="Internet Link"/>
    <w:basedOn w:val="DefaultParagraphFont"/>
    <w:unhideWhenUsed/>
    <w:qFormat/>
    <w:rsid w:val="006308fe"/>
    <w:rPr>
      <w:color w:themeColor="hyperlink" w:val="467886"/>
      <w:u w:val="single"/>
    </w:rPr>
  </w:style>
  <w:style w:type="character" w:styleId="UnresolvedMention">
    <w:name w:val="Unresolved Mention"/>
    <w:basedOn w:val="DefaultParagraphFont"/>
    <w:uiPriority w:val="99"/>
    <w:semiHidden/>
    <w:unhideWhenUsed/>
    <w:qFormat/>
    <w:rsid w:val="006308fe"/>
    <w:rPr>
      <w:color w:val="605E5C"/>
      <w:shd w:fill="E1DFDD" w:val="clear"/>
    </w:rPr>
  </w:style>
  <w:style w:type="character" w:styleId="AntratsDiagrama" w:customStyle="1">
    <w:name w:val="Antraštės Diagrama"/>
    <w:basedOn w:val="DefaultParagraphFont"/>
    <w:uiPriority w:val="99"/>
    <w:qFormat/>
    <w:rsid w:val="00177d7e"/>
    <w:rPr/>
  </w:style>
  <w:style w:type="character" w:styleId="PoratDiagrama" w:customStyle="1">
    <w:name w:val="Poraštė Diagrama"/>
    <w:basedOn w:val="DefaultParagraphFont"/>
    <w:uiPriority w:val="99"/>
    <w:qFormat/>
    <w:rsid w:val="00177d7e"/>
    <w:rPr/>
  </w:style>
  <w:style w:type="character" w:styleId="PuslapioinaostekstasDiagrama" w:customStyle="1">
    <w:name w:val="Puslapio išnašos tekstas Diagrama"/>
    <w:basedOn w:val="DefaultParagraphFont"/>
    <w:uiPriority w:val="99"/>
    <w:semiHidden/>
    <w:qFormat/>
    <w:rsid w:val="002b184c"/>
    <w:rPr>
      <w:sz w:val="20"/>
      <w:szCs w:val="20"/>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customStyle="1">
    <w:name w:val="Footnote Characters1"/>
    <w:qFormat/>
    <w:rPr>
      <w:vertAlign w:val="superscript"/>
    </w:rPr>
  </w:style>
  <w:style w:type="character" w:styleId="FootnoteCharacters11" w:customStyle="1">
    <w:name w:val="Footnote Characters11"/>
    <w:qFormat/>
    <w:rPr>
      <w:vertAlign w:val="superscript"/>
    </w:rPr>
  </w:style>
  <w:style w:type="character" w:styleId="FootnoteCharacters111" w:customStyle="1">
    <w:name w:val="Footnote Characters111"/>
    <w:basedOn w:val="DefaultParagraphFont"/>
    <w:uiPriority w:val="99"/>
    <w:semiHidden/>
    <w:unhideWhenUsed/>
    <w:qFormat/>
    <w:rsid w:val="002b184c"/>
    <w:rPr>
      <w:vertAlign w:val="superscript"/>
    </w:rPr>
  </w:style>
  <w:style w:type="character" w:styleId="CommentReference">
    <w:name w:val="annotation reference"/>
    <w:basedOn w:val="DefaultParagraphFont"/>
    <w:uiPriority w:val="99"/>
    <w:semiHidden/>
    <w:unhideWhenUsed/>
    <w:qFormat/>
    <w:rsid w:val="00c66ff3"/>
    <w:rPr>
      <w:sz w:val="16"/>
      <w:szCs w:val="16"/>
    </w:rPr>
  </w:style>
  <w:style w:type="character" w:styleId="KomentarotekstasDiagrama" w:customStyle="1">
    <w:name w:val="Komentaro tekstas Diagrama"/>
    <w:basedOn w:val="DefaultParagraphFont"/>
    <w:uiPriority w:val="99"/>
    <w:qFormat/>
    <w:rsid w:val="00c66ff3"/>
    <w:rPr>
      <w:sz w:val="20"/>
      <w:szCs w:val="20"/>
    </w:rPr>
  </w:style>
  <w:style w:type="character" w:styleId="KomentarotemaDiagrama" w:customStyle="1">
    <w:name w:val="Komentaro tema Diagrama"/>
    <w:basedOn w:val="KomentarotekstasDiagrama"/>
    <w:link w:val="annotationsubject"/>
    <w:uiPriority w:val="99"/>
    <w:semiHidden/>
    <w:qFormat/>
    <w:rsid w:val="00c66ff3"/>
    <w:rPr>
      <w:b/>
      <w:bCs/>
      <w:sz w:val="20"/>
      <w:szCs w:val="20"/>
    </w:rPr>
  </w:style>
  <w:style w:type="character" w:styleId="Bodytext2NotItalic2" w:customStyle="1">
    <w:name w:val="Body text (2) + Not Italic2"/>
    <w:basedOn w:val="DefaultParagraphFont"/>
    <w:qFormat/>
    <w:rsid w:val="00c52cc2"/>
    <w:rPr>
      <w:rFonts w:ascii="Times New Roman" w:hAnsi="Times New Roman" w:cs="Times New Roman"/>
      <w:i/>
      <w:iCs/>
      <w:sz w:val="23"/>
      <w:szCs w:val="23"/>
      <w:shd w:fill="FFFFFF" w:val="clear"/>
    </w:rPr>
  </w:style>
  <w:style w:type="character" w:styleId="InternetLink1" w:customStyle="1">
    <w:name w:val="Internet Link1"/>
    <w:qFormat/>
    <w:rPr>
      <w:color w:val="000080"/>
      <w:u w:val="single"/>
    </w:rPr>
  </w:style>
  <w:style w:type="character" w:styleId="Galinsinaosramenys" w:customStyle="1">
    <w:name w:val="Galinės išnašos rašmenys"/>
    <w:qFormat/>
    <w:rPr/>
  </w:style>
  <w:style w:type="character" w:styleId="LineNumbering" w:customStyle="1">
    <w:name w:val="Line Numbering"/>
    <w:qFormat/>
    <w:rPr/>
  </w:style>
  <w:style w:type="character" w:styleId="InternetLink2" w:customStyle="1">
    <w:name w:val="Internet Link2"/>
    <w:qFormat/>
    <w:rPr>
      <w:color w:val="000080"/>
      <w:u w:val="single"/>
    </w:rPr>
  </w:style>
  <w:style w:type="character" w:styleId="LineNumbering1" w:customStyle="1">
    <w:name w:val="Line Numbering1"/>
    <w:qFormat/>
    <w:rPr/>
  </w:style>
  <w:style w:type="character" w:styleId="InternetLink3">
    <w:name w:val="Internet Link3"/>
    <w:qFormat/>
    <w:rPr>
      <w:color w:val="000080"/>
      <w:u w:val="single"/>
    </w:rPr>
  </w:style>
  <w:style w:type="character" w:styleId="LineNumbering2">
    <w:name w:val="Line Numbering2"/>
    <w:qFormat/>
    <w:rPr/>
  </w:style>
  <w:style w:type="character" w:styleId="Hyperlink">
    <w:name w:val="Hyperlink"/>
    <w:rPr>
      <w:color w:val="000080"/>
      <w:u w:val="single"/>
    </w:rPr>
  </w:style>
  <w:style w:type="character" w:styleId="LineNumber">
    <w:name w:val="line number"/>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customStyle="1">
    <w:name w:val="Rodyklė"/>
    <w:basedOn w:val="Normal"/>
    <w:qFormat/>
    <w:pPr>
      <w:suppressLineNumbers/>
    </w:pPr>
    <w:rPr>
      <w:rFonts w:cs="Lucida Sans"/>
    </w:rPr>
  </w:style>
  <w:style w:type="paragraph" w:styleId="Antrat1" w:customStyle="1">
    <w:name w:val="Antraštė1"/>
    <w:basedOn w:val="Normal"/>
    <w:next w:val="BodyText"/>
    <w:qFormat/>
    <w:pPr>
      <w:keepNext w:val="true"/>
      <w:spacing w:before="240" w:after="120"/>
    </w:pPr>
    <w:rPr>
      <w:rFonts w:ascii="Liberation Sans" w:hAnsi="Liberation Sans" w:eastAsia="Microsoft YaHei" w:cs="Lucida Sans"/>
      <w:sz w:val="28"/>
      <w:szCs w:val="28"/>
    </w:rPr>
  </w:style>
  <w:style w:type="paragraph" w:styleId="Title">
    <w:name w:val="Title"/>
    <w:basedOn w:val="Normal"/>
    <w:next w:val="Normal"/>
    <w:link w:val="PavadinimasDiagrama"/>
    <w:uiPriority w:val="10"/>
    <w:qFormat/>
    <w:rsid w:val="00147788"/>
    <w:pPr>
      <w:spacing w:lineRule="auto" w:line="240" w:before="0" w:after="80"/>
      <w:contextualSpacing/>
    </w:pPr>
    <w:rPr>
      <w:rFonts w:ascii="Aptos Display" w:hAnsi="Aptos Display" w:eastAsia="" w:cs="" w:asciiTheme="majorHAnsi" w:cstheme="majorBidi" w:eastAsiaTheme="majorEastAsia" w:hAnsiTheme="majorHAnsi"/>
      <w:spacing w:val="-10"/>
      <w:sz w:val="56"/>
      <w:szCs w:val="56"/>
    </w:rPr>
  </w:style>
  <w:style w:type="paragraph" w:styleId="Subtitle">
    <w:name w:val="Subtitle"/>
    <w:basedOn w:val="Normal"/>
    <w:next w:val="Normal"/>
    <w:link w:val="PaantratDiagrama"/>
    <w:uiPriority w:val="11"/>
    <w:qFormat/>
    <w:rsid w:val="00147788"/>
    <w:pPr/>
    <w:rPr>
      <w:rFonts w:eastAsia="" w:cs="" w:cstheme="majorBidi" w:eastAsiaTheme="majorEastAsia"/>
      <w:color w:themeColor="text1" w:themeTint="a6" w:val="595959"/>
      <w:spacing w:val="15"/>
      <w:sz w:val="28"/>
      <w:szCs w:val="28"/>
    </w:rPr>
  </w:style>
  <w:style w:type="paragraph" w:styleId="Quote">
    <w:name w:val="Quote"/>
    <w:basedOn w:val="Normal"/>
    <w:next w:val="Normal"/>
    <w:link w:val="CitataDiagrama"/>
    <w:uiPriority w:val="29"/>
    <w:qFormat/>
    <w:rsid w:val="00147788"/>
    <w:pPr>
      <w:spacing w:before="160" w:after="160"/>
      <w:jc w:val="center"/>
    </w:pPr>
    <w:rPr>
      <w:i/>
      <w:iCs/>
      <w:color w:themeColor="text1" w:themeTint="bf" w:val="404040"/>
    </w:rPr>
  </w:style>
  <w:style w:type="paragraph" w:styleId="ListParagraph">
    <w:name w:val="List Paragraph"/>
    <w:basedOn w:val="Normal"/>
    <w:uiPriority w:val="34"/>
    <w:qFormat/>
    <w:rsid w:val="00147788"/>
    <w:pPr>
      <w:spacing w:before="0" w:after="160"/>
      <w:ind w:left="720"/>
      <w:contextualSpacing/>
    </w:pPr>
    <w:rPr/>
  </w:style>
  <w:style w:type="paragraph" w:styleId="IntenseQuote">
    <w:name w:val="Intense Quote"/>
    <w:basedOn w:val="Normal"/>
    <w:next w:val="Normal"/>
    <w:link w:val="IskirtacitataDiagrama"/>
    <w:uiPriority w:val="30"/>
    <w:qFormat/>
    <w:rsid w:val="00147788"/>
    <w:pPr>
      <w:pBdr>
        <w:top w:val="single" w:sz="4" w:space="10" w:color="0F4761" w:themeColor="accent1" w:themeShade="bf"/>
        <w:bottom w:val="single" w:sz="4" w:space="10" w:color="0F4761" w:themeColor="accent1" w:themeShade="bf"/>
      </w:pBdr>
      <w:spacing w:before="360" w:after="360"/>
      <w:ind w:left="864" w:right="864"/>
      <w:jc w:val="center"/>
    </w:pPr>
    <w:rPr>
      <w:i/>
      <w:iCs/>
      <w:color w:themeColor="accent1" w:themeShade="bf" w:val="0F4761"/>
    </w:rPr>
  </w:style>
  <w:style w:type="paragraph" w:styleId="HeaderandFooter" w:customStyle="1">
    <w:name w:val="Header and Footer"/>
    <w:basedOn w:val="Normal"/>
    <w:qFormat/>
    <w:pPr/>
    <w:rPr/>
  </w:style>
  <w:style w:type="paragraph" w:styleId="Header">
    <w:name w:val="header"/>
    <w:basedOn w:val="Normal"/>
    <w:link w:val="AntratsDiagrama"/>
    <w:uiPriority w:val="99"/>
    <w:unhideWhenUsed/>
    <w:rsid w:val="00177d7e"/>
    <w:pPr>
      <w:tabs>
        <w:tab w:val="clear" w:pos="1296"/>
        <w:tab w:val="center" w:pos="4819" w:leader="none"/>
        <w:tab w:val="right" w:pos="9638" w:leader="none"/>
      </w:tabs>
      <w:spacing w:lineRule="auto" w:line="240" w:before="0" w:after="0"/>
    </w:pPr>
    <w:rPr/>
  </w:style>
  <w:style w:type="paragraph" w:styleId="Footer">
    <w:name w:val="footer"/>
    <w:basedOn w:val="Normal"/>
    <w:link w:val="PoratDiagrama"/>
    <w:uiPriority w:val="99"/>
    <w:unhideWhenUsed/>
    <w:rsid w:val="00177d7e"/>
    <w:pPr>
      <w:tabs>
        <w:tab w:val="clear" w:pos="1296"/>
        <w:tab w:val="center" w:pos="4819" w:leader="none"/>
        <w:tab w:val="right" w:pos="9638" w:leader="none"/>
      </w:tabs>
      <w:spacing w:lineRule="auto" w:line="240" w:before="0" w:after="0"/>
    </w:pPr>
    <w:rPr/>
  </w:style>
  <w:style w:type="paragraph" w:styleId="FootnoteText">
    <w:name w:val="footnote text"/>
    <w:basedOn w:val="Normal"/>
    <w:link w:val="PuslapioinaostekstasDiagrama"/>
    <w:uiPriority w:val="99"/>
    <w:semiHidden/>
    <w:unhideWhenUsed/>
    <w:rsid w:val="002b184c"/>
    <w:pPr>
      <w:spacing w:lineRule="auto" w:line="240" w:before="0" w:after="0"/>
    </w:pPr>
    <w:rPr>
      <w:sz w:val="20"/>
      <w:szCs w:val="20"/>
    </w:rPr>
  </w:style>
  <w:style w:type="paragraph" w:styleId="Revision">
    <w:name w:val="Revision"/>
    <w:uiPriority w:val="99"/>
    <w:semiHidden/>
    <w:qFormat/>
    <w:rsid w:val="00301576"/>
    <w:pPr>
      <w:widowControl/>
      <w:suppressAutoHyphens w:val="true"/>
      <w:bidi w:val="0"/>
      <w:spacing w:before="0" w:after="0"/>
      <w:jc w:val="left"/>
    </w:pPr>
    <w:rPr>
      <w:rFonts w:ascii="Aptos" w:hAnsi="Aptos" w:eastAsia="Aptos" w:cs="" w:asciiTheme="minorHAnsi" w:cstheme="minorBidi" w:eastAsiaTheme="minorHAnsi" w:hAnsiTheme="minorHAnsi"/>
      <w:color w:val="auto"/>
      <w:kern w:val="2"/>
      <w:sz w:val="22"/>
      <w:szCs w:val="22"/>
      <w:lang w:val="lt-LT" w:eastAsia="en-US" w:bidi="ar-SA"/>
      <w14:ligatures w14:val="standardContextual"/>
    </w:rPr>
  </w:style>
  <w:style w:type="paragraph" w:styleId="CommentText">
    <w:name w:val="annotation text"/>
    <w:basedOn w:val="Normal"/>
    <w:link w:val="KomentarotekstasDiagrama"/>
    <w:uiPriority w:val="99"/>
    <w:unhideWhenUsed/>
    <w:rsid w:val="00c66ff3"/>
    <w:pPr>
      <w:spacing w:lineRule="auto" w:line="240"/>
    </w:pPr>
    <w:rPr>
      <w:sz w:val="20"/>
      <w:szCs w:val="20"/>
    </w:rPr>
  </w:style>
  <w:style w:type="paragraph" w:styleId="annotationsubject">
    <w:name w:val="annotation subject"/>
    <w:basedOn w:val="CommentText"/>
    <w:next w:val="CommentText"/>
    <w:link w:val="KomentarotemaDiagrama"/>
    <w:uiPriority w:val="99"/>
    <w:semiHidden/>
    <w:unhideWhenUsed/>
    <w:qFormat/>
    <w:rsid w:val="00c66ff3"/>
    <w:pPr/>
    <w:rPr>
      <w:b/>
      <w:bCs/>
    </w:rPr>
  </w:style>
  <w:style w:type="numbering" w:styleId="NoList" w:default="1">
    <w:name w:val="No List"/>
    <w:uiPriority w:val="99"/>
    <w:semiHidden/>
    <w:unhideWhenUsed/>
    <w:qFormat/>
  </w:style>
  <w:style w:type="numbering" w:styleId="Sraonra1" w:customStyle="1">
    <w:name w:val="Sąrašo nėra1"/>
    <w:uiPriority w:val="99"/>
    <w:semiHidden/>
    <w:unhideWhenUsed/>
    <w:qFormat/>
    <w:rsid w:val="006308fe"/>
  </w:style>
  <w:style w:type="table" w:default="1" w:styleId="prastojilent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info@vmu.lt" TargetMode="External"/><Relationship Id="rId3" Type="http://schemas.openxmlformats.org/officeDocument/2006/relationships/hyperlink" Target="http://www.stat.gov.lt/" TargetMode="External"/><Relationship Id="rId4" Type="http://schemas.openxmlformats.org/officeDocument/2006/relationships/hyperlink" Target="https://osp.stat.gov.lt/" TargetMode="Externa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oter" Target="footer3.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E3859C-0F68-48A2-981A-427749853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Application>LibreOffice/24.8.0.3$Windows_X86_64 LibreOffice_project/0bdf1299c94fe897b119f97f3c613e9dca6be583</Application>
  <AppVersion>15.0000</AppVersion>
  <Pages>9</Pages>
  <Words>2564</Words>
  <Characters>18533</Characters>
  <CharactersWithSpaces>20907</CharactersWithSpaces>
  <Paragraphs>215</Paragraphs>
  <Company>Aon</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2026-07-28T09:34:00Z</dcterms:created>
  <dc:creator>Sandra Metlovaitė | VMU</dc:creator>
  <dc:description/>
  <dc:language>lt-LT</dc:language>
  <cp:lastModifiedBy/>
  <dcterms:modified xsi:type="dcterms:W3CDTF">2026-07-28T13:22:36Z</dcterms:modified>
  <cp:revision>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43f10a-881e-4653-a55e-02ca2cc829dc_ActionId">
    <vt:lpwstr>0e966e83-961e-4ef3-9659-ee20a3862db1</vt:lpwstr>
  </property>
  <property fmtid="{D5CDD505-2E9C-101B-9397-08002B2CF9AE}" pid="3" name="MSIP_Label_9043f10a-881e-4653-a55e-02ca2cc829dc_ContentBits">
    <vt:lpwstr>0</vt:lpwstr>
  </property>
  <property fmtid="{D5CDD505-2E9C-101B-9397-08002B2CF9AE}" pid="4" name="MSIP_Label_9043f10a-881e-4653-a55e-02ca2cc829dc_Enabled">
    <vt:lpwstr>true</vt:lpwstr>
  </property>
  <property fmtid="{D5CDD505-2E9C-101B-9397-08002B2CF9AE}" pid="5" name="MSIP_Label_9043f10a-881e-4653-a55e-02ca2cc829dc_Method">
    <vt:lpwstr>Standard</vt:lpwstr>
  </property>
  <property fmtid="{D5CDD505-2E9C-101B-9397-08002B2CF9AE}" pid="6" name="MSIP_Label_9043f10a-881e-4653-a55e-02ca2cc829dc_Name">
    <vt:lpwstr>ADC_class_200</vt:lpwstr>
  </property>
  <property fmtid="{D5CDD505-2E9C-101B-9397-08002B2CF9AE}" pid="7" name="MSIP_Label_9043f10a-881e-4653-a55e-02ca2cc829dc_SetDate">
    <vt:lpwstr>2026-07-14T12:11:44Z</vt:lpwstr>
  </property>
  <property fmtid="{D5CDD505-2E9C-101B-9397-08002B2CF9AE}" pid="8" name="MSIP_Label_9043f10a-881e-4653-a55e-02ca2cc829dc_SiteId">
    <vt:lpwstr>94cfddbc-0627-494a-ad7a-29aea3aea832</vt:lpwstr>
  </property>
  <property fmtid="{D5CDD505-2E9C-101B-9397-08002B2CF9AE}" pid="9" name="MSIP_Label_9043f10a-881e-4653-a55e-02ca2cc829dc_Tag">
    <vt:lpwstr>10, 3, 0, 1</vt:lpwstr>
  </property>
</Properties>
</file>